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4" w:rsidRPr="00B80625" w:rsidRDefault="00D170E9" w:rsidP="00A018F5">
      <w:pPr>
        <w:jc w:val="center"/>
        <w:rPr>
          <w:rFonts w:ascii="Arial" w:hAnsi="Arial" w:cs="Arial"/>
          <w:b/>
          <w:sz w:val="52"/>
          <w:szCs w:val="52"/>
        </w:rPr>
      </w:pPr>
      <w:r w:rsidRPr="00B80625">
        <w:rPr>
          <w:rFonts w:ascii="Arial" w:hAnsi="Arial" w:cs="Arial"/>
          <w:b/>
          <w:sz w:val="52"/>
          <w:szCs w:val="52"/>
        </w:rPr>
        <w:t>A Safety and Violence Prevention Curriculum Overview</w:t>
      </w:r>
    </w:p>
    <w:tbl>
      <w:tblPr>
        <w:tblStyle w:val="TableGrid"/>
        <w:tblW w:w="14664" w:type="dxa"/>
        <w:tblLook w:val="04A0" w:firstRow="1" w:lastRow="0" w:firstColumn="1" w:lastColumn="0" w:noHBand="0" w:noVBand="1"/>
      </w:tblPr>
      <w:tblGrid>
        <w:gridCol w:w="3666"/>
        <w:gridCol w:w="3462"/>
        <w:gridCol w:w="3600"/>
        <w:gridCol w:w="3936"/>
      </w:tblGrid>
      <w:tr w:rsidR="00D170E9" w:rsidRPr="00B80625" w:rsidTr="005E0CD8">
        <w:trPr>
          <w:trHeight w:val="3977"/>
        </w:trPr>
        <w:tc>
          <w:tcPr>
            <w:tcW w:w="14664" w:type="dxa"/>
            <w:gridSpan w:val="4"/>
          </w:tcPr>
          <w:p w:rsidR="00D170E9" w:rsidRPr="00B80625" w:rsidRDefault="001B3D80" w:rsidP="00C86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Overview</w:t>
            </w:r>
          </w:p>
          <w:p w:rsidR="00D170E9" w:rsidRPr="00B80625" w:rsidRDefault="00E6553A" w:rsidP="00E6553A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This</w:t>
            </w:r>
            <w:r w:rsidR="00D170E9" w:rsidRPr="00B80625">
              <w:rPr>
                <w:rFonts w:ascii="Arial" w:hAnsi="Arial" w:cs="Arial"/>
              </w:rPr>
              <w:t xml:space="preserve"> curriculum </w:t>
            </w:r>
            <w:r w:rsidRPr="00B80625">
              <w:rPr>
                <w:rFonts w:ascii="Arial" w:hAnsi="Arial" w:cs="Arial"/>
              </w:rPr>
              <w:t xml:space="preserve">is </w:t>
            </w:r>
            <w:r w:rsidR="00D170E9" w:rsidRPr="00B80625">
              <w:rPr>
                <w:rFonts w:ascii="Arial" w:hAnsi="Arial" w:cs="Arial"/>
              </w:rPr>
              <w:t xml:space="preserve">designed to increase school professional’s awareness and knowledge of student behavioral health issues including: </w:t>
            </w:r>
            <w:r w:rsidRPr="00B80625">
              <w:rPr>
                <w:rFonts w:ascii="Arial" w:hAnsi="Arial" w:cs="Arial"/>
                <w:color w:val="000000"/>
              </w:rPr>
              <w:t xml:space="preserve">mental and behavioral health, substance use and abuse </w:t>
            </w:r>
            <w:r w:rsidRPr="00B80625">
              <w:rPr>
                <w:rFonts w:ascii="Arial" w:hAnsi="Arial" w:cs="Arial"/>
              </w:rPr>
              <w:t>in students, depression and suicidal ideation</w:t>
            </w:r>
            <w:r w:rsidR="00D170E9" w:rsidRPr="00B80625">
              <w:rPr>
                <w:rFonts w:ascii="Arial" w:hAnsi="Arial" w:cs="Arial"/>
              </w:rPr>
              <w:t xml:space="preserve">, </w:t>
            </w:r>
            <w:r w:rsidRPr="00B80625">
              <w:rPr>
                <w:rFonts w:ascii="Arial" w:hAnsi="Arial" w:cs="Arial"/>
              </w:rPr>
              <w:t>anti-harassment, intimidation, bullying, teen relationship abuse and child abuse and human trafficking</w:t>
            </w:r>
            <w:r w:rsidR="00D170E9" w:rsidRPr="00B80625">
              <w:rPr>
                <w:rFonts w:ascii="Arial" w:hAnsi="Arial" w:cs="Arial"/>
              </w:rPr>
              <w:t>.</w:t>
            </w:r>
          </w:p>
          <w:p w:rsidR="00D170E9" w:rsidRPr="00B80625" w:rsidRDefault="00D170E9" w:rsidP="00C860AD">
            <w:pPr>
              <w:rPr>
                <w:rFonts w:ascii="Arial" w:hAnsi="Arial" w:cs="Arial"/>
              </w:rPr>
            </w:pPr>
          </w:p>
          <w:p w:rsidR="00D170E9" w:rsidRPr="00B80625" w:rsidRDefault="00D170E9" w:rsidP="00C860AD">
            <w:pPr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  <w:b/>
              </w:rPr>
              <w:t>Objectives</w:t>
            </w:r>
          </w:p>
          <w:p w:rsidR="00D170E9" w:rsidRPr="001E4777" w:rsidRDefault="00A018F5" w:rsidP="001E4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E4777">
              <w:rPr>
                <w:rFonts w:ascii="Arial" w:hAnsi="Arial" w:cs="Arial"/>
              </w:rPr>
              <w:t>To build understanding of the relationship between nonacademic barriers and student academic achievement;</w:t>
            </w:r>
          </w:p>
          <w:p w:rsidR="00A018F5" w:rsidRPr="001E4777" w:rsidRDefault="00A018F5" w:rsidP="001E4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E4777">
              <w:rPr>
                <w:rFonts w:ascii="Arial" w:hAnsi="Arial" w:cs="Arial"/>
              </w:rPr>
              <w:t>To increase awareness and knowledge regarding various student behavioral health issues;</w:t>
            </w:r>
          </w:p>
          <w:p w:rsidR="00A018F5" w:rsidRPr="001E4777" w:rsidRDefault="00A018F5" w:rsidP="001E4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E4777">
              <w:rPr>
                <w:rFonts w:ascii="Arial" w:hAnsi="Arial" w:cs="Arial"/>
              </w:rPr>
              <w:t>To provide information regarding identification of student behavior health issues;</w:t>
            </w:r>
          </w:p>
          <w:p w:rsidR="00A018F5" w:rsidRPr="001E4777" w:rsidRDefault="00A018F5" w:rsidP="001E4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E4777">
              <w:rPr>
                <w:rFonts w:ascii="Arial" w:hAnsi="Arial" w:cs="Arial"/>
              </w:rPr>
              <w:t>To build understanding about making appropriate referrals to an agency or organization.</w:t>
            </w:r>
          </w:p>
          <w:p w:rsidR="00A018F5" w:rsidRPr="00B80625" w:rsidRDefault="00A018F5" w:rsidP="00C860AD">
            <w:pPr>
              <w:rPr>
                <w:rFonts w:ascii="Arial" w:hAnsi="Arial" w:cs="Arial"/>
              </w:rPr>
            </w:pPr>
          </w:p>
          <w:p w:rsidR="00A018F5" w:rsidRPr="00B80625" w:rsidRDefault="00A018F5" w:rsidP="00C860AD">
            <w:pPr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  <w:b/>
              </w:rPr>
              <w:t>Delivery Modality</w:t>
            </w:r>
          </w:p>
          <w:p w:rsidR="00D170E9" w:rsidRPr="00B80625" w:rsidRDefault="00A018F5" w:rsidP="00C860AD">
            <w:pPr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A flexible cur</w:t>
            </w:r>
            <w:r w:rsidR="00E6553A" w:rsidRPr="00B80625">
              <w:rPr>
                <w:rFonts w:ascii="Arial" w:hAnsi="Arial" w:cs="Arial"/>
              </w:rPr>
              <w:t xml:space="preserve">riculum that can be delivered as one program or </w:t>
            </w:r>
            <w:r w:rsidRPr="00B80625">
              <w:rPr>
                <w:rFonts w:ascii="Arial" w:hAnsi="Arial" w:cs="Arial"/>
              </w:rPr>
              <w:t>four individual trainings. The curriculum can be personalized to emphasize the needs of a particular school or district. The four modules are detailed below.</w:t>
            </w:r>
          </w:p>
        </w:tc>
      </w:tr>
      <w:tr w:rsidR="00D170E9" w:rsidRPr="00B80625" w:rsidTr="00D76B18">
        <w:trPr>
          <w:trHeight w:val="5462"/>
        </w:trPr>
        <w:tc>
          <w:tcPr>
            <w:tcW w:w="3666" w:type="dxa"/>
          </w:tcPr>
          <w:p w:rsidR="00D170E9" w:rsidRDefault="00A018F5" w:rsidP="00A018F5">
            <w:pPr>
              <w:jc w:val="center"/>
              <w:rPr>
                <w:rFonts w:ascii="Arial" w:hAnsi="Arial" w:cs="Arial"/>
                <w:b/>
                <w:i/>
              </w:rPr>
            </w:pPr>
            <w:r w:rsidRPr="00B80625">
              <w:rPr>
                <w:rFonts w:ascii="Arial" w:hAnsi="Arial" w:cs="Arial"/>
                <w:b/>
                <w:i/>
              </w:rPr>
              <w:t>Module #1</w:t>
            </w:r>
          </w:p>
          <w:p w:rsidR="002D07E0" w:rsidRPr="00B80625" w:rsidRDefault="002D07E0" w:rsidP="00A018F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553A" w:rsidRDefault="00E6553A" w:rsidP="00B80625">
            <w:pPr>
              <w:numPr>
                <w:ilvl w:val="0"/>
                <w:numId w:val="2"/>
              </w:numPr>
              <w:tabs>
                <w:tab w:val="left" w:pos="825"/>
              </w:tabs>
              <w:ind w:left="36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Recognize stigma of ment</w:t>
            </w:r>
            <w:r w:rsidR="00D76B18">
              <w:rPr>
                <w:rFonts w:ascii="Arial" w:hAnsi="Arial" w:cs="Arial"/>
              </w:rPr>
              <w:t>al and behavioral health issues.</w:t>
            </w:r>
          </w:p>
          <w:p w:rsidR="00B80625" w:rsidRPr="00B80625" w:rsidRDefault="00B80625" w:rsidP="00B80625">
            <w:pPr>
              <w:tabs>
                <w:tab w:val="left" w:pos="825"/>
              </w:tabs>
              <w:ind w:left="360"/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2"/>
              </w:numPr>
              <w:tabs>
                <w:tab w:val="left" w:pos="825"/>
              </w:tabs>
              <w:ind w:left="36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Identify warning signs of ment</w:t>
            </w:r>
            <w:r w:rsidR="00D76B18">
              <w:rPr>
                <w:rFonts w:ascii="Arial" w:hAnsi="Arial" w:cs="Arial"/>
              </w:rPr>
              <w:t>al and behavioral health issues.</w:t>
            </w:r>
          </w:p>
          <w:p w:rsidR="00B80625" w:rsidRPr="00B80625" w:rsidRDefault="00B80625" w:rsidP="00B80625">
            <w:pPr>
              <w:tabs>
                <w:tab w:val="left" w:pos="825"/>
              </w:tabs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2"/>
              </w:numPr>
              <w:tabs>
                <w:tab w:val="left" w:pos="825"/>
              </w:tabs>
              <w:ind w:left="36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Understand warning signs of al</w:t>
            </w:r>
            <w:r w:rsidR="00D76B18">
              <w:rPr>
                <w:rFonts w:ascii="Arial" w:hAnsi="Arial" w:cs="Arial"/>
              </w:rPr>
              <w:t>cohol and drug-related problems.</w:t>
            </w:r>
          </w:p>
          <w:p w:rsidR="00B80625" w:rsidRPr="00B80625" w:rsidRDefault="00B80625" w:rsidP="00B80625">
            <w:pPr>
              <w:tabs>
                <w:tab w:val="left" w:pos="825"/>
              </w:tabs>
              <w:rPr>
                <w:rFonts w:ascii="Arial" w:hAnsi="Arial" w:cs="Arial"/>
              </w:rPr>
            </w:pPr>
          </w:p>
          <w:p w:rsidR="00B80625" w:rsidRDefault="00E6553A" w:rsidP="00B80625">
            <w:pPr>
              <w:numPr>
                <w:ilvl w:val="0"/>
                <w:numId w:val="2"/>
              </w:numPr>
              <w:tabs>
                <w:tab w:val="left" w:pos="825"/>
              </w:tabs>
              <w:ind w:left="360"/>
              <w:rPr>
                <w:rFonts w:ascii="Arial" w:hAnsi="Arial" w:cs="Arial"/>
              </w:rPr>
            </w:pPr>
            <w:r w:rsidRPr="00D76B18">
              <w:rPr>
                <w:rFonts w:ascii="Arial" w:hAnsi="Arial" w:cs="Arial"/>
              </w:rPr>
              <w:t>Understand the role of school professionals in identifying and referring students who may be experiencing alcoho</w:t>
            </w:r>
            <w:r w:rsidR="00D76B18">
              <w:rPr>
                <w:rFonts w:ascii="Arial" w:hAnsi="Arial" w:cs="Arial"/>
              </w:rPr>
              <w:t xml:space="preserve">l- or drug-related problems. </w:t>
            </w:r>
          </w:p>
          <w:p w:rsidR="00D76B18" w:rsidRPr="00D76B18" w:rsidRDefault="00D76B18" w:rsidP="00D76B18">
            <w:pPr>
              <w:tabs>
                <w:tab w:val="left" w:pos="825"/>
              </w:tabs>
              <w:rPr>
                <w:rFonts w:ascii="Arial" w:hAnsi="Arial" w:cs="Arial"/>
              </w:rPr>
            </w:pPr>
          </w:p>
          <w:p w:rsidR="00E6553A" w:rsidRPr="00B80625" w:rsidRDefault="00E6553A" w:rsidP="00B80625">
            <w:pPr>
              <w:numPr>
                <w:ilvl w:val="0"/>
                <w:numId w:val="2"/>
              </w:numPr>
              <w:tabs>
                <w:tab w:val="left" w:pos="825"/>
              </w:tabs>
              <w:ind w:left="36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 xml:space="preserve">Have access to local, statewide and national resources for understanding alcohol- and drug-related learning barriers. </w:t>
            </w:r>
          </w:p>
          <w:p w:rsidR="00576BF4" w:rsidRPr="00B80625" w:rsidRDefault="00576BF4" w:rsidP="005E0CD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:rsidR="00D170E9" w:rsidRDefault="00A018F5" w:rsidP="00A018F5">
            <w:pPr>
              <w:jc w:val="center"/>
              <w:rPr>
                <w:rFonts w:ascii="Arial" w:hAnsi="Arial" w:cs="Arial"/>
                <w:b/>
                <w:i/>
              </w:rPr>
            </w:pPr>
            <w:r w:rsidRPr="00B80625">
              <w:rPr>
                <w:rFonts w:ascii="Arial" w:hAnsi="Arial" w:cs="Arial"/>
                <w:b/>
                <w:i/>
              </w:rPr>
              <w:t>Module #2</w:t>
            </w:r>
          </w:p>
          <w:p w:rsidR="002D07E0" w:rsidRPr="00B80625" w:rsidRDefault="002D07E0" w:rsidP="00A018F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553A" w:rsidRDefault="00E6553A" w:rsidP="00B80625">
            <w:pPr>
              <w:numPr>
                <w:ilvl w:val="0"/>
                <w:numId w:val="4"/>
              </w:numPr>
              <w:ind w:left="294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 xml:space="preserve">Understand the key changes in student behavior, appearance and performance that </w:t>
            </w:r>
            <w:r w:rsidR="00D76B18">
              <w:rPr>
                <w:rFonts w:ascii="Arial" w:hAnsi="Arial" w:cs="Arial"/>
              </w:rPr>
              <w:t>may be indicative of depression.</w:t>
            </w:r>
          </w:p>
          <w:p w:rsidR="00B80625" w:rsidRPr="00B80625" w:rsidRDefault="00B80625" w:rsidP="00B80625">
            <w:pPr>
              <w:ind w:left="294"/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4"/>
              </w:numPr>
              <w:ind w:left="294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Know the specific warning signs of child and adolescent depression and the wa</w:t>
            </w:r>
            <w:r w:rsidR="00D76B18">
              <w:rPr>
                <w:rFonts w:ascii="Arial" w:hAnsi="Arial" w:cs="Arial"/>
              </w:rPr>
              <w:t>rning signs for student suicide.</w:t>
            </w:r>
          </w:p>
          <w:p w:rsidR="00B80625" w:rsidRPr="00B80625" w:rsidRDefault="00B80625" w:rsidP="00B80625">
            <w:pPr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4"/>
              </w:numPr>
              <w:ind w:left="294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Possess the skills to adequately identify potential cases of student depression</w:t>
            </w:r>
            <w:r w:rsidR="00D76B18">
              <w:rPr>
                <w:rFonts w:ascii="Arial" w:hAnsi="Arial" w:cs="Arial"/>
              </w:rPr>
              <w:t xml:space="preserve"> or suspected suicidal ideation.</w:t>
            </w:r>
          </w:p>
          <w:p w:rsidR="00B80625" w:rsidRPr="00B80625" w:rsidRDefault="00B80625" w:rsidP="00B80625">
            <w:pPr>
              <w:rPr>
                <w:rFonts w:ascii="Arial" w:hAnsi="Arial" w:cs="Arial"/>
              </w:rPr>
            </w:pPr>
          </w:p>
          <w:p w:rsidR="00E6553A" w:rsidRPr="00B80625" w:rsidRDefault="00E6553A" w:rsidP="00B80625">
            <w:pPr>
              <w:numPr>
                <w:ilvl w:val="0"/>
                <w:numId w:val="4"/>
              </w:numPr>
              <w:ind w:left="294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Know how to make appropriate referrals to school and community professionals to help students.</w:t>
            </w:r>
          </w:p>
          <w:p w:rsidR="00411ADC" w:rsidRPr="00B80625" w:rsidRDefault="00411ADC" w:rsidP="005E0CD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D170E9" w:rsidRDefault="00A018F5" w:rsidP="00A018F5">
            <w:pPr>
              <w:jc w:val="center"/>
              <w:rPr>
                <w:rFonts w:ascii="Arial" w:hAnsi="Arial" w:cs="Arial"/>
                <w:b/>
                <w:i/>
              </w:rPr>
            </w:pPr>
            <w:r w:rsidRPr="00B80625">
              <w:rPr>
                <w:rFonts w:ascii="Arial" w:hAnsi="Arial" w:cs="Arial"/>
                <w:b/>
                <w:i/>
              </w:rPr>
              <w:t>Module #3</w:t>
            </w:r>
          </w:p>
          <w:p w:rsidR="002D07E0" w:rsidRPr="00B80625" w:rsidRDefault="002D07E0" w:rsidP="00A018F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553A" w:rsidRDefault="00E6553A" w:rsidP="00B80625">
            <w:pPr>
              <w:numPr>
                <w:ilvl w:val="0"/>
                <w:numId w:val="9"/>
              </w:numPr>
              <w:ind w:left="342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Define ha</w:t>
            </w:r>
            <w:r w:rsidR="00391F74">
              <w:rPr>
                <w:rFonts w:ascii="Arial" w:hAnsi="Arial" w:cs="Arial"/>
              </w:rPr>
              <w:t>rassment, intimidation bullying</w:t>
            </w:r>
            <w:r w:rsidRPr="00B80625">
              <w:rPr>
                <w:rFonts w:ascii="Arial" w:hAnsi="Arial" w:cs="Arial"/>
              </w:rPr>
              <w:t xml:space="preserve"> and teen relationship abuse.</w:t>
            </w:r>
          </w:p>
          <w:p w:rsidR="00B80625" w:rsidRPr="00B80625" w:rsidRDefault="00B80625" w:rsidP="00B80625">
            <w:pPr>
              <w:ind w:left="342"/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9"/>
              </w:numPr>
              <w:ind w:left="342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Identify signs of risk factors for perpetration in their schools, on the school buses and in their community.</w:t>
            </w:r>
          </w:p>
          <w:p w:rsidR="00B80625" w:rsidRPr="00B80625" w:rsidRDefault="00B80625" w:rsidP="00B80625">
            <w:pPr>
              <w:rPr>
                <w:rFonts w:ascii="Arial" w:hAnsi="Arial" w:cs="Arial"/>
              </w:rPr>
            </w:pPr>
          </w:p>
          <w:p w:rsidR="00E6553A" w:rsidRPr="00B80625" w:rsidRDefault="00E6553A" w:rsidP="00B80625">
            <w:pPr>
              <w:numPr>
                <w:ilvl w:val="0"/>
                <w:numId w:val="9"/>
              </w:numPr>
              <w:ind w:left="342" w:hanging="270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Describe the th</w:t>
            </w:r>
            <w:r w:rsidR="000D0289">
              <w:rPr>
                <w:rFonts w:ascii="Arial" w:hAnsi="Arial" w:cs="Arial"/>
              </w:rPr>
              <w:t xml:space="preserve">ree step process to respond to </w:t>
            </w:r>
            <w:bookmarkStart w:id="0" w:name="_GoBack"/>
            <w:bookmarkEnd w:id="0"/>
            <w:r w:rsidR="000D0289">
              <w:rPr>
                <w:rFonts w:ascii="Arial" w:hAnsi="Arial" w:cs="Arial"/>
              </w:rPr>
              <w:t>h</w:t>
            </w:r>
            <w:r w:rsidRPr="00B80625">
              <w:rPr>
                <w:rFonts w:ascii="Arial" w:hAnsi="Arial" w:cs="Arial"/>
              </w:rPr>
              <w:t>ar</w:t>
            </w:r>
            <w:r w:rsidR="000D0289">
              <w:rPr>
                <w:rFonts w:ascii="Arial" w:hAnsi="Arial" w:cs="Arial"/>
              </w:rPr>
              <w:t>assment, intimidation, bullying and teen relationship a</w:t>
            </w:r>
            <w:r w:rsidRPr="00B80625">
              <w:rPr>
                <w:rFonts w:ascii="Arial" w:hAnsi="Arial" w:cs="Arial"/>
              </w:rPr>
              <w:t>buse when you witness it.</w:t>
            </w:r>
          </w:p>
          <w:p w:rsidR="00411ADC" w:rsidRPr="00B80625" w:rsidRDefault="00411ADC" w:rsidP="00E6553A">
            <w:pPr>
              <w:pStyle w:val="ListParagraph"/>
              <w:ind w:left="228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D170E9" w:rsidRDefault="00A018F5" w:rsidP="00A018F5">
            <w:pPr>
              <w:jc w:val="center"/>
              <w:rPr>
                <w:rFonts w:ascii="Arial" w:hAnsi="Arial" w:cs="Arial"/>
                <w:b/>
                <w:i/>
              </w:rPr>
            </w:pPr>
            <w:r w:rsidRPr="00B80625">
              <w:rPr>
                <w:rFonts w:ascii="Arial" w:hAnsi="Arial" w:cs="Arial"/>
                <w:b/>
                <w:i/>
              </w:rPr>
              <w:t>Module #4</w:t>
            </w:r>
          </w:p>
          <w:p w:rsidR="002D07E0" w:rsidRPr="00B80625" w:rsidRDefault="002D07E0" w:rsidP="00A018F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553A" w:rsidRDefault="00E6553A" w:rsidP="00B80625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Understand the warning signs of ch</w:t>
            </w:r>
            <w:r w:rsidR="00D76B18">
              <w:rPr>
                <w:rFonts w:ascii="Arial" w:hAnsi="Arial" w:cs="Arial"/>
              </w:rPr>
              <w:t>ild abuse and human trafficking.</w:t>
            </w:r>
          </w:p>
          <w:p w:rsidR="00B80625" w:rsidRPr="00B80625" w:rsidRDefault="00B80625" w:rsidP="00B80625">
            <w:pPr>
              <w:ind w:left="252"/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 xml:space="preserve">In the case of suspected child abuse, understand each educator’s role as </w:t>
            </w:r>
            <w:r w:rsidR="00045521">
              <w:rPr>
                <w:rFonts w:ascii="Arial" w:hAnsi="Arial" w:cs="Arial"/>
              </w:rPr>
              <w:t xml:space="preserve">a </w:t>
            </w:r>
            <w:r w:rsidRPr="00B80625">
              <w:rPr>
                <w:rFonts w:ascii="Arial" w:hAnsi="Arial" w:cs="Arial"/>
              </w:rPr>
              <w:t>mandated reporter and</w:t>
            </w:r>
            <w:r w:rsidR="00D76B18">
              <w:rPr>
                <w:rFonts w:ascii="Arial" w:hAnsi="Arial" w:cs="Arial"/>
              </w:rPr>
              <w:t xml:space="preserve"> the process of making a report.</w:t>
            </w:r>
            <w:r w:rsidRPr="00B80625">
              <w:rPr>
                <w:rFonts w:ascii="Arial" w:hAnsi="Arial" w:cs="Arial"/>
              </w:rPr>
              <w:t xml:space="preserve"> </w:t>
            </w:r>
          </w:p>
          <w:p w:rsidR="00B80625" w:rsidRPr="00B80625" w:rsidRDefault="00B80625" w:rsidP="00B80625">
            <w:pPr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 xml:space="preserve">Define human trafficking and the scope of the problem. Understand the components of the business and factors associated with </w:t>
            </w:r>
            <w:r w:rsidR="00BE2FF0">
              <w:rPr>
                <w:rFonts w:ascii="Arial" w:hAnsi="Arial" w:cs="Arial"/>
              </w:rPr>
              <w:t xml:space="preserve">the </w:t>
            </w:r>
            <w:r w:rsidRPr="00B80625">
              <w:rPr>
                <w:rFonts w:ascii="Arial" w:hAnsi="Arial" w:cs="Arial"/>
              </w:rPr>
              <w:t>human trafficking of minors. Have solutions to intervene and repo</w:t>
            </w:r>
            <w:r w:rsidR="00D76B18">
              <w:rPr>
                <w:rFonts w:ascii="Arial" w:hAnsi="Arial" w:cs="Arial"/>
              </w:rPr>
              <w:t>rt human trafficking of minors.</w:t>
            </w:r>
          </w:p>
          <w:p w:rsidR="00B80625" w:rsidRPr="00B80625" w:rsidRDefault="00B80625" w:rsidP="00B80625">
            <w:pPr>
              <w:rPr>
                <w:rFonts w:ascii="Arial" w:hAnsi="Arial" w:cs="Arial"/>
              </w:rPr>
            </w:pPr>
          </w:p>
          <w:p w:rsidR="00E6553A" w:rsidRDefault="00E6553A" w:rsidP="00B80625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Discuss the connection between school climate and safety issues.</w:t>
            </w:r>
          </w:p>
          <w:p w:rsidR="00B80625" w:rsidRPr="00B80625" w:rsidRDefault="00B80625" w:rsidP="00B80625">
            <w:pPr>
              <w:rPr>
                <w:rFonts w:ascii="Arial" w:hAnsi="Arial" w:cs="Arial"/>
              </w:rPr>
            </w:pPr>
          </w:p>
          <w:p w:rsidR="00411ADC" w:rsidRPr="00B80625" w:rsidRDefault="00E6553A" w:rsidP="00B8062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</w:rPr>
            </w:pPr>
            <w:r w:rsidRPr="00B80625">
              <w:rPr>
                <w:rFonts w:ascii="Arial" w:hAnsi="Arial" w:cs="Arial"/>
              </w:rPr>
              <w:t>Know how to make referrals to school professionals for helping the student.</w:t>
            </w:r>
          </w:p>
        </w:tc>
      </w:tr>
    </w:tbl>
    <w:p w:rsidR="00D170E9" w:rsidRPr="00B80625" w:rsidRDefault="00D170E9" w:rsidP="00B80625">
      <w:pPr>
        <w:tabs>
          <w:tab w:val="left" w:pos="5880"/>
        </w:tabs>
        <w:rPr>
          <w:rFonts w:ascii="Arial" w:hAnsi="Arial" w:cs="Arial"/>
        </w:rPr>
      </w:pPr>
    </w:p>
    <w:sectPr w:rsidR="00D170E9" w:rsidRPr="00B80625" w:rsidSect="00B20AD3">
      <w:pgSz w:w="15840" w:h="12240" w:orient="landscape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A20"/>
    <w:multiLevelType w:val="hybridMultilevel"/>
    <w:tmpl w:val="F0385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84695"/>
    <w:multiLevelType w:val="hybridMultilevel"/>
    <w:tmpl w:val="02B05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A33D6"/>
    <w:multiLevelType w:val="hybridMultilevel"/>
    <w:tmpl w:val="40625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C08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827E4"/>
    <w:multiLevelType w:val="hybridMultilevel"/>
    <w:tmpl w:val="4246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11AB"/>
    <w:multiLevelType w:val="hybridMultilevel"/>
    <w:tmpl w:val="F1E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1629"/>
    <w:multiLevelType w:val="hybridMultilevel"/>
    <w:tmpl w:val="BFA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C4657"/>
    <w:multiLevelType w:val="hybridMultilevel"/>
    <w:tmpl w:val="5ECAD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53963"/>
    <w:multiLevelType w:val="hybridMultilevel"/>
    <w:tmpl w:val="8A12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C084B"/>
    <w:multiLevelType w:val="hybridMultilevel"/>
    <w:tmpl w:val="C5B0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1573"/>
    <w:multiLevelType w:val="hybridMultilevel"/>
    <w:tmpl w:val="B7E2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8241D5"/>
    <w:multiLevelType w:val="hybridMultilevel"/>
    <w:tmpl w:val="AC74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060B"/>
    <w:multiLevelType w:val="hybridMultilevel"/>
    <w:tmpl w:val="1D60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4"/>
    <w:rsid w:val="00045521"/>
    <w:rsid w:val="000D0289"/>
    <w:rsid w:val="00147E95"/>
    <w:rsid w:val="00172751"/>
    <w:rsid w:val="001B3D80"/>
    <w:rsid w:val="001E4777"/>
    <w:rsid w:val="00267071"/>
    <w:rsid w:val="002D07E0"/>
    <w:rsid w:val="00391F74"/>
    <w:rsid w:val="00411ADC"/>
    <w:rsid w:val="00576BF4"/>
    <w:rsid w:val="005B2875"/>
    <w:rsid w:val="005E0CD8"/>
    <w:rsid w:val="00852AC8"/>
    <w:rsid w:val="008E7E30"/>
    <w:rsid w:val="009C71D2"/>
    <w:rsid w:val="00A018F5"/>
    <w:rsid w:val="00AA7CF1"/>
    <w:rsid w:val="00B20AD3"/>
    <w:rsid w:val="00B634D6"/>
    <w:rsid w:val="00B80625"/>
    <w:rsid w:val="00BE2FF0"/>
    <w:rsid w:val="00C860AD"/>
    <w:rsid w:val="00CA2F42"/>
    <w:rsid w:val="00CC7376"/>
    <w:rsid w:val="00D170E9"/>
    <w:rsid w:val="00D711E4"/>
    <w:rsid w:val="00D76B18"/>
    <w:rsid w:val="00E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BF4"/>
    <w:pPr>
      <w:ind w:left="720"/>
      <w:contextualSpacing/>
    </w:pPr>
  </w:style>
  <w:style w:type="character" w:styleId="Hyperlink">
    <w:name w:val="Hyperlink"/>
    <w:uiPriority w:val="99"/>
    <w:rsid w:val="00E65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BF4"/>
    <w:pPr>
      <w:ind w:left="720"/>
      <w:contextualSpacing/>
    </w:pPr>
  </w:style>
  <w:style w:type="character" w:styleId="Hyperlink">
    <w:name w:val="Hyperlink"/>
    <w:uiPriority w:val="99"/>
    <w:rsid w:val="00E6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jill.jackson</dc:creator>
  <cp:lastModifiedBy>Windows User</cp:lastModifiedBy>
  <cp:revision>2</cp:revision>
  <dcterms:created xsi:type="dcterms:W3CDTF">2013-08-14T14:01:00Z</dcterms:created>
  <dcterms:modified xsi:type="dcterms:W3CDTF">2013-08-14T14:01:00Z</dcterms:modified>
</cp:coreProperties>
</file>