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DD8" w14:textId="77777777" w:rsidTr="003D67D6">
        <w:tc>
          <w:tcPr>
            <w:tcW w:w="808" w:type="pc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D6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4192" w:type="pct"/>
            <w:tcBorders>
              <w:bottom w:val="single" w:sz="4" w:space="0" w:color="auto"/>
            </w:tcBorders>
            <w:shd w:val="clear" w:color="auto" w:fill="auto"/>
          </w:tcPr>
          <w:p w14:paraId="25AA9DD7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1.1</w:t>
            </w:r>
            <w:r w:rsidR="00157FE6" w:rsidRPr="005F7763">
              <w:rPr>
                <w:b/>
              </w:rPr>
              <w:tab/>
            </w:r>
            <w:r w:rsidRPr="005F7763">
              <w:rPr>
                <w:b/>
                <w:color w:val="0D0D0D" w:themeColor="text1" w:themeTint="F2"/>
              </w:rPr>
              <w:t>Employability Skills:</w:t>
            </w:r>
            <w:r w:rsidRPr="005F7763">
              <w:rPr>
                <w:color w:val="0D0D0D" w:themeColor="text1" w:themeTint="F2"/>
              </w:rPr>
              <w:t xml:space="preserve"> Develop career awareness and employability skills (e.g., face-to-face, online) needed for gaining and maintaining employment in diverse business settings.</w:t>
            </w:r>
          </w:p>
        </w:tc>
      </w:tr>
      <w:tr w:rsidR="005756B0" w:rsidRPr="005F7763" w14:paraId="25AA9DDC" w14:textId="77777777" w:rsidTr="003D67D6">
        <w:tc>
          <w:tcPr>
            <w:tcW w:w="808" w:type="pc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D9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4192" w:type="pct"/>
            <w:tcBorders>
              <w:bottom w:val="single" w:sz="4" w:space="0" w:color="auto"/>
            </w:tcBorders>
            <w:shd w:val="clear" w:color="auto" w:fill="auto"/>
          </w:tcPr>
          <w:p w14:paraId="25AA9DDA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1.1.2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Identify the scope of career opportunities and the requirements for education, trai</w:t>
            </w:r>
            <w:r w:rsidR="00814F4D" w:rsidRPr="005F7763">
              <w:rPr>
                <w:color w:val="0D0D0D" w:themeColor="text1" w:themeTint="F2"/>
              </w:rPr>
              <w:t xml:space="preserve">ning, certification, licensure </w:t>
            </w:r>
            <w:r w:rsidRPr="005F7763">
              <w:rPr>
                <w:color w:val="0D0D0D" w:themeColor="text1" w:themeTint="F2"/>
              </w:rPr>
              <w:t>and experience.</w:t>
            </w:r>
          </w:p>
          <w:p w14:paraId="25AA9DDB" w14:textId="77777777" w:rsidR="00FD31CD" w:rsidRPr="005F7763" w:rsidRDefault="00FD31CD" w:rsidP="005F7763">
            <w:pPr>
              <w:spacing w:before="60" w:after="60"/>
              <w:ind w:left="704" w:hanging="704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1.1.6</w:t>
            </w:r>
            <w:r w:rsidRPr="005F7763">
              <w:tab/>
            </w:r>
            <w:r w:rsidRPr="005F7763">
              <w:rPr>
                <w:color w:val="0D0D0D" w:themeColor="text1" w:themeTint="F2"/>
              </w:rPr>
              <w:t>Explain the importance of work ethic, accountability, and responsibility and demonstrate associated behaviors in fulfilling personal, community and workplace roles.</w:t>
            </w:r>
          </w:p>
        </w:tc>
      </w:tr>
    </w:tbl>
    <w:p w14:paraId="25AA9DDD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1C699E" w:rsidRPr="005F7763" w14:paraId="25AA9DE0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DDE" w14:textId="77777777" w:rsidR="001C699E" w:rsidRPr="005F7763" w:rsidRDefault="001C699E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</w:tcPr>
          <w:p w14:paraId="25AA9DDF" w14:textId="77777777" w:rsidR="001C699E" w:rsidRPr="005F7763" w:rsidRDefault="001C699E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1.2</w:t>
            </w:r>
            <w:r w:rsidRPr="005F7763">
              <w:rPr>
                <w:b/>
              </w:rPr>
              <w:tab/>
            </w:r>
            <w:r w:rsidRPr="005F7763">
              <w:rPr>
                <w:b/>
                <w:color w:val="0D0D0D" w:themeColor="text1" w:themeTint="F2"/>
              </w:rPr>
              <w:t>Leadership and Communications:</w:t>
            </w:r>
            <w:r w:rsidRPr="005F7763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1C699E" w:rsidRPr="005F7763" w14:paraId="25AA9DE6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DE1" w14:textId="77777777" w:rsidR="001C699E" w:rsidRPr="005F7763" w:rsidRDefault="001C699E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</w:tcPr>
          <w:p w14:paraId="25AA9DE2" w14:textId="77777777" w:rsidR="001C699E" w:rsidRPr="005F7763" w:rsidRDefault="001C699E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1.2.3</w:t>
            </w:r>
            <w:r w:rsidRPr="005F7763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14:paraId="25AA9DE3" w14:textId="77777777" w:rsidR="001C699E" w:rsidRPr="005F7763" w:rsidRDefault="001C699E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1.2.5</w:t>
            </w:r>
            <w:r w:rsidRPr="005F7763">
              <w:rPr>
                <w:color w:val="0D0D0D" w:themeColor="text1" w:themeTint="F2"/>
              </w:rPr>
              <w:tab/>
              <w:t>Communicate information (e.g., directions, ideas, vision, workplace expectations</w:t>
            </w:r>
            <w:r w:rsidR="00FD31CD" w:rsidRPr="005F7763">
              <w:rPr>
                <w:color w:val="0D0D0D" w:themeColor="text1" w:themeTint="F2"/>
              </w:rPr>
              <w:t>)</w:t>
            </w:r>
            <w:r w:rsidRPr="005F7763">
              <w:rPr>
                <w:color w:val="0D0D0D" w:themeColor="text1" w:themeTint="F2"/>
              </w:rPr>
              <w:t xml:space="preserve"> for an intended audience and purpose.</w:t>
            </w:r>
          </w:p>
          <w:p w14:paraId="25AA9DE4" w14:textId="77777777" w:rsidR="00FD31CD" w:rsidRPr="005F7763" w:rsidRDefault="00FD31CD" w:rsidP="005F7763">
            <w:pPr>
              <w:spacing w:before="60" w:after="60"/>
              <w:ind w:left="704" w:hanging="704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1.2.9</w:t>
            </w:r>
            <w:r w:rsidRPr="005F7763">
              <w:rPr>
                <w:color w:val="0D0D0D" w:themeColor="text1" w:themeTint="F2"/>
              </w:rPr>
              <w:tab/>
              <w:t>Identify advantages and disadvantages involving digital and/or electronic communications (e.g., common content for large audience, control of tone, speed, cost, lack of non-verbal cues, potential for forwarding information, longevity).</w:t>
            </w:r>
          </w:p>
          <w:p w14:paraId="25AA9DE5" w14:textId="77777777" w:rsidR="001C699E" w:rsidRPr="005F7763" w:rsidRDefault="00567E9D" w:rsidP="005F7763">
            <w:pPr>
              <w:spacing w:before="60" w:after="60"/>
              <w:ind w:left="702" w:hanging="702"/>
            </w:pPr>
            <w:r w:rsidRPr="005F7763">
              <w:rPr>
                <w:color w:val="0D0D0D" w:themeColor="text1" w:themeTint="F2"/>
              </w:rPr>
              <w:t>1.2.12</w:t>
            </w:r>
            <w:r w:rsidRPr="005F7763">
              <w:rPr>
                <w:color w:val="0D0D0D" w:themeColor="text1" w:themeTint="F2"/>
              </w:rPr>
              <w:tab/>
              <w:t>Use technical writing skills to complete forms and create reports.</w:t>
            </w:r>
          </w:p>
        </w:tc>
      </w:tr>
    </w:tbl>
    <w:p w14:paraId="25AA9DE7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DEA" w14:textId="77777777" w:rsidTr="003D67D6">
        <w:tc>
          <w:tcPr>
            <w:tcW w:w="808" w:type="pc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E8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4192" w:type="pct"/>
            <w:tcBorders>
              <w:bottom w:val="single" w:sz="4" w:space="0" w:color="auto"/>
            </w:tcBorders>
            <w:shd w:val="clear" w:color="auto" w:fill="auto"/>
          </w:tcPr>
          <w:p w14:paraId="25AA9DE9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1.3</w:t>
            </w:r>
            <w:r w:rsidR="00157FE6" w:rsidRPr="005F7763">
              <w:rPr>
                <w:b/>
              </w:rPr>
              <w:tab/>
            </w:r>
            <w:r w:rsidRPr="005F7763">
              <w:rPr>
                <w:b/>
                <w:color w:val="0D0D0D" w:themeColor="text1" w:themeTint="F2"/>
              </w:rPr>
              <w:t>Business Ethics and Law:</w:t>
            </w:r>
            <w:r w:rsidRPr="005F7763">
              <w:rPr>
                <w:color w:val="0D0D0D" w:themeColor="text1" w:themeTint="F2"/>
              </w:rPr>
              <w:t xml:space="preserve"> Analyze how professional, ethical, and legal behavior contributes to continuous improvement in organizational performance and regulatory compliance.</w:t>
            </w:r>
          </w:p>
        </w:tc>
      </w:tr>
      <w:tr w:rsidR="005756B0" w:rsidRPr="005F7763" w14:paraId="25AA9DF0" w14:textId="77777777" w:rsidTr="003D67D6">
        <w:tc>
          <w:tcPr>
            <w:tcW w:w="808" w:type="pc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EB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4192" w:type="pct"/>
            <w:tcBorders>
              <w:bottom w:val="single" w:sz="4" w:space="0" w:color="auto"/>
            </w:tcBorders>
            <w:shd w:val="clear" w:color="auto" w:fill="auto"/>
          </w:tcPr>
          <w:p w14:paraId="25AA9DEC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1.3.2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Follow protocols and practices nece</w:t>
            </w:r>
            <w:r w:rsidR="00814F4D" w:rsidRPr="005F7763">
              <w:rPr>
                <w:color w:val="0D0D0D" w:themeColor="text1" w:themeTint="F2"/>
              </w:rPr>
              <w:t>ssary to maintain a clean, safe</w:t>
            </w:r>
            <w:r w:rsidRPr="005F7763">
              <w:rPr>
                <w:color w:val="0D0D0D" w:themeColor="text1" w:themeTint="F2"/>
              </w:rPr>
              <w:t xml:space="preserve"> and healthy work environment.</w:t>
            </w:r>
          </w:p>
          <w:p w14:paraId="25AA9DED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1.3.3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ethical character traits consistent with workplace standards (e.g., honesty, personal integrity, compassion, justice).</w:t>
            </w:r>
          </w:p>
          <w:p w14:paraId="25AA9DEE" w14:textId="77777777" w:rsidR="00567E9D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1.3.5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 xml:space="preserve">Access and implement safety compliance measures (e.g., quality assurance information, safety data sheets [SDSs], product </w:t>
            </w:r>
            <w:r w:rsidR="00814F4D" w:rsidRPr="005F7763">
              <w:rPr>
                <w:color w:val="0D0D0D" w:themeColor="text1" w:themeTint="F2"/>
              </w:rPr>
              <w:t>safety data sheets [PSDSs], United States</w:t>
            </w:r>
            <w:r w:rsidRPr="005F7763">
              <w:rPr>
                <w:color w:val="0D0D0D" w:themeColor="text1" w:themeTint="F2"/>
              </w:rPr>
              <w:t xml:space="preserve"> Environmental Protection Agency [EPA], United States Occupational Safety and Health Administration [OSHA]) that contribute to the continuous improvement of the organization.</w:t>
            </w:r>
          </w:p>
          <w:p w14:paraId="25AA9DEF" w14:textId="77777777" w:rsidR="00567E9D" w:rsidRPr="005F7763" w:rsidRDefault="00FD31CD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lastRenderedPageBreak/>
              <w:t>1.3.8</w:t>
            </w:r>
            <w:r w:rsidRPr="005F7763">
              <w:tab/>
            </w:r>
            <w:r w:rsidR="00567E9D" w:rsidRPr="005F7763">
              <w:rPr>
                <w:color w:val="0D0D0D" w:themeColor="text1" w:themeTint="F2"/>
              </w:rPr>
              <w:t>Verify compliance with computer and intellectual property laws and regulations.</w:t>
            </w:r>
          </w:p>
        </w:tc>
      </w:tr>
    </w:tbl>
    <w:p w14:paraId="25AA9DF1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DF4" w14:textId="77777777" w:rsidTr="003D67D6"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F2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4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A9DF3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1.4</w:t>
            </w:r>
            <w:r w:rsidR="00157FE6" w:rsidRPr="005F7763">
              <w:rPr>
                <w:b/>
              </w:rPr>
              <w:tab/>
            </w:r>
            <w:r w:rsidRPr="005F7763">
              <w:rPr>
                <w:b/>
                <w:color w:val="0D0D0D" w:themeColor="text1" w:themeTint="F2"/>
              </w:rPr>
              <w:t>Knowledge Management and Information Technology:</w:t>
            </w:r>
            <w:r w:rsidRPr="005F7763">
              <w:rPr>
                <w:color w:val="0D0D0D" w:themeColor="text1" w:themeTint="F2"/>
              </w:rPr>
              <w:t xml:space="preserve"> Demonstrate current and emerging strategies and technologies u</w:t>
            </w:r>
            <w:r w:rsidR="00814F4D" w:rsidRPr="005F7763">
              <w:rPr>
                <w:color w:val="0D0D0D" w:themeColor="text1" w:themeTint="F2"/>
              </w:rPr>
              <w:t>sed to collect, analyze, record</w:t>
            </w:r>
            <w:r w:rsidRPr="005F7763">
              <w:rPr>
                <w:color w:val="0D0D0D" w:themeColor="text1" w:themeTint="F2"/>
              </w:rPr>
              <w:t xml:space="preserve"> and share information in business operations.</w:t>
            </w:r>
          </w:p>
        </w:tc>
      </w:tr>
      <w:tr w:rsidR="005756B0" w:rsidRPr="005F7763" w14:paraId="25AA9DFE" w14:textId="77777777" w:rsidTr="003D67D6">
        <w:tc>
          <w:tcPr>
            <w:tcW w:w="808" w:type="pct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DF5" w14:textId="77777777" w:rsidR="005756B0" w:rsidRPr="005F7763" w:rsidRDefault="005756B0" w:rsidP="005F7763">
            <w:pPr>
              <w:spacing w:before="60" w:after="60"/>
              <w:rPr>
                <w:b/>
                <w:color w:val="0D0D0D" w:themeColor="text1" w:themeTint="F2"/>
              </w:rPr>
            </w:pPr>
            <w:r w:rsidRPr="005F7763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4192" w:type="pct"/>
            <w:tcBorders>
              <w:bottom w:val="single" w:sz="4" w:space="0" w:color="auto"/>
            </w:tcBorders>
            <w:shd w:val="clear" w:color="auto" w:fill="auto"/>
          </w:tcPr>
          <w:p w14:paraId="25AA9DF6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1.4.1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office equipment to communicate (e.g., phone, radio equipment, fax machine, scanner, public address systems).</w:t>
            </w:r>
          </w:p>
          <w:p w14:paraId="25AA9DF7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1.4.2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Select and use software applicat</w:t>
            </w:r>
            <w:r w:rsidR="00814F4D" w:rsidRPr="005F7763">
              <w:rPr>
                <w:color w:val="0D0D0D" w:themeColor="text1" w:themeTint="F2"/>
              </w:rPr>
              <w:t>ions to locate, record, analyze</w:t>
            </w:r>
            <w:r w:rsidRPr="005F7763">
              <w:rPr>
                <w:color w:val="0D0D0D" w:themeColor="text1" w:themeTint="F2"/>
              </w:rPr>
              <w:t xml:space="preserve"> and present information (e.g., word processing, e</w:t>
            </w:r>
            <w:r w:rsidR="00814F4D" w:rsidRPr="005F7763">
              <w:rPr>
                <w:color w:val="0D0D0D" w:themeColor="text1" w:themeTint="F2"/>
              </w:rPr>
              <w:t>-</w:t>
            </w:r>
            <w:r w:rsidRPr="005F7763">
              <w:rPr>
                <w:color w:val="0D0D0D" w:themeColor="text1" w:themeTint="F2"/>
              </w:rPr>
              <w:t>mail, spreadsheet, databases, presentation, Internet search engines).</w:t>
            </w:r>
          </w:p>
          <w:p w14:paraId="25AA9DF8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1.4.3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Verify compliance w</w:t>
            </w:r>
            <w:r w:rsidR="00814F4D" w:rsidRPr="005F7763">
              <w:rPr>
                <w:color w:val="0D0D0D" w:themeColor="text1" w:themeTint="F2"/>
              </w:rPr>
              <w:t>ith security rules, regulations</w:t>
            </w:r>
            <w:r w:rsidRPr="005F7763">
              <w:rPr>
                <w:color w:val="0D0D0D" w:themeColor="text1" w:themeTint="F2"/>
              </w:rPr>
              <w:t xml:space="preserve"> and codes (e.g., property, privacy, access, accuracy issues, client and patient record confidentiality) pertaining to technology specific to industry pathway.</w:t>
            </w:r>
          </w:p>
          <w:p w14:paraId="25AA9DF9" w14:textId="77777777" w:rsidR="0031176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1.4.4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system hardware to support software applications.</w:t>
            </w:r>
          </w:p>
          <w:p w14:paraId="25AA9DFA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1.4.5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information techn</w:t>
            </w:r>
            <w:r w:rsidR="00814F4D" w:rsidRPr="005F7763">
              <w:rPr>
                <w:color w:val="0D0D0D" w:themeColor="text1" w:themeTint="F2"/>
              </w:rPr>
              <w:t>ology tools to maintain, secure</w:t>
            </w:r>
            <w:r w:rsidRPr="005F7763">
              <w:rPr>
                <w:color w:val="0D0D0D" w:themeColor="text1" w:themeTint="F2"/>
              </w:rPr>
              <w:t xml:space="preserve"> and monitor business records.</w:t>
            </w:r>
          </w:p>
          <w:p w14:paraId="25AA9DFB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1.4.6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 xml:space="preserve">Use </w:t>
            </w:r>
            <w:r w:rsidR="00814F4D" w:rsidRPr="005F7763">
              <w:rPr>
                <w:color w:val="0D0D0D" w:themeColor="text1" w:themeTint="F2"/>
              </w:rPr>
              <w:t xml:space="preserve">an </w:t>
            </w:r>
            <w:r w:rsidRPr="005F7763">
              <w:rPr>
                <w:color w:val="0D0D0D" w:themeColor="text1" w:themeTint="F2"/>
              </w:rPr>
              <w:t>electronic database to access and create business and technical information.</w:t>
            </w:r>
          </w:p>
          <w:p w14:paraId="25AA9DFC" w14:textId="77777777" w:rsidR="005756B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1.4.7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personal information management and productivity applications to optimize assigned tasks (e.g., lists, calendars, address books).</w:t>
            </w:r>
          </w:p>
          <w:p w14:paraId="25AA9DFD" w14:textId="77777777" w:rsidR="00311760" w:rsidRPr="005F7763" w:rsidRDefault="005756B0" w:rsidP="005F7763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5F7763">
              <w:rPr>
                <w:color w:val="0D0D0D" w:themeColor="text1" w:themeTint="F2"/>
              </w:rPr>
              <w:t>1.4.8</w:t>
            </w:r>
            <w:r w:rsidR="00157FE6" w:rsidRPr="005F7763">
              <w:tab/>
            </w:r>
            <w:r w:rsidRPr="005F7763">
              <w:rPr>
                <w:color w:val="0D0D0D" w:themeColor="text1" w:themeTint="F2"/>
              </w:rPr>
              <w:t>Use electronic media to communicate and follow network etiquette guidelines.</w:t>
            </w:r>
          </w:p>
        </w:tc>
      </w:tr>
    </w:tbl>
    <w:p w14:paraId="25AA9DFF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E02" w14:textId="77777777" w:rsidTr="003D67D6">
        <w:tc>
          <w:tcPr>
            <w:tcW w:w="808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25AA9E00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AA9E01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3.1</w:t>
            </w:r>
            <w:r w:rsidRPr="005F7763">
              <w:rPr>
                <w:b/>
              </w:rPr>
              <w:tab/>
              <w:t xml:space="preserve">Customer Relations: </w:t>
            </w:r>
            <w:r w:rsidRPr="005F7763">
              <w:t xml:space="preserve">Apply techniques, strategies and tools to develop, maintain and grow positive internal and external customer, or client, relationships. </w:t>
            </w:r>
          </w:p>
        </w:tc>
      </w:tr>
      <w:tr w:rsidR="005756B0" w:rsidRPr="005F7763" w14:paraId="25AA9E08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03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04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3.1.5</w:t>
            </w:r>
            <w:r w:rsidRPr="005F7763">
              <w:tab/>
              <w:t>Maintain confidentiality or privacy of internal and external customers.</w:t>
            </w:r>
          </w:p>
          <w:p w14:paraId="25AA9E05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3.1.6</w:t>
            </w:r>
            <w:r w:rsidRPr="005F7763">
              <w:tab/>
              <w:t>Reinforce company’s image and culture to exhibit the business’s brand promise.</w:t>
            </w:r>
          </w:p>
          <w:p w14:paraId="25AA9E06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3.1.7</w:t>
            </w:r>
            <w:r w:rsidRPr="005F7763">
              <w:tab/>
              <w:t>Describe the scope of customer-relationship management to show its contribution to business.</w:t>
            </w:r>
          </w:p>
          <w:p w14:paraId="25AA9E07" w14:textId="77777777" w:rsidR="0031176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3.1.10</w:t>
            </w:r>
            <w:r w:rsidRPr="005F7763">
              <w:tab/>
              <w:t>Confer with patients about their rights and responsibilities as stated in the Patient Bill of Rights, the legal ownership of medical records, advanced directives and informed consent.</w:t>
            </w:r>
          </w:p>
        </w:tc>
      </w:tr>
      <w:tr w:rsidR="005756B0" w:rsidRPr="005F7763" w14:paraId="25AA9E0B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09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lastRenderedPageBreak/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0A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3.4</w:t>
            </w:r>
            <w:r w:rsidRPr="005F7763">
              <w:rPr>
                <w:b/>
              </w:rPr>
              <w:tab/>
              <w:t>Social Media Communications:</w:t>
            </w:r>
            <w:r w:rsidRPr="005F7763">
              <w:t xml:space="preserve"> Apply tools, strategies and processes to plan, create, implement, monitor and evaluate social media communications to support corporate brand and strategy.</w:t>
            </w:r>
          </w:p>
        </w:tc>
      </w:tr>
      <w:tr w:rsidR="005756B0" w:rsidRPr="005F7763" w14:paraId="25AA9E0E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0C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0D" w14:textId="77777777" w:rsidR="005756B0" w:rsidRPr="005F7763" w:rsidRDefault="005756B0" w:rsidP="005F7763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3.4.2</w:t>
            </w:r>
            <w:r w:rsidRPr="005F7763">
              <w:tab/>
              <w:t xml:space="preserve">Compare and contrast the use of social media for personal and business purposes. </w:t>
            </w:r>
          </w:p>
        </w:tc>
      </w:tr>
    </w:tbl>
    <w:p w14:paraId="25AA9E0F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E12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10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11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4.3</w:t>
            </w:r>
            <w:r w:rsidRPr="005F7763">
              <w:rPr>
                <w:b/>
              </w:rPr>
              <w:tab/>
              <w:t>Compliance:</w:t>
            </w:r>
            <w:r w:rsidRPr="005F7763">
              <w:t xml:space="preserve"> Develop compliance systems, processes and procedures used to manage compliance risk across an organization.  </w:t>
            </w:r>
          </w:p>
        </w:tc>
      </w:tr>
      <w:tr w:rsidR="005756B0" w:rsidRPr="005F7763" w14:paraId="25AA9E19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13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14" w14:textId="77777777" w:rsidR="003D67D6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4.3.3</w:t>
            </w:r>
            <w:r w:rsidRPr="005F7763">
              <w:tab/>
              <w:t>Explain the elements of a compliance program and how requirements and expectations differ across industry sectors (e.g., financial services, healthcare, consumer products, restaurants and food and beverages, etc.).</w:t>
            </w:r>
          </w:p>
          <w:p w14:paraId="25AA9E15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4.3.5</w:t>
            </w:r>
            <w:r w:rsidRPr="005F7763">
              <w:tab/>
              <w:t>Develop the elements of a basic compliance program to promote consistent behaviors (e.g., policies, procedures, training).</w:t>
            </w:r>
          </w:p>
          <w:p w14:paraId="25AA9E16" w14:textId="77777777" w:rsidR="00466117" w:rsidRPr="005F7763" w:rsidRDefault="00466117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4.3.6</w:t>
            </w:r>
            <w:r w:rsidRPr="005F7763">
              <w:tab/>
              <w:t xml:space="preserve">Analyze existing policies, procedures and documents to ascertain compliance with regulatory requirements (e.g., Centers for Medicare and Medicaid Services [CMS], </w:t>
            </w:r>
            <w:r w:rsidRPr="005F7763">
              <w:rPr>
                <w:color w:val="000000"/>
              </w:rPr>
              <w:t>Health Insurance Portability and Accountability Act [HIPAA]</w:t>
            </w:r>
            <w:r w:rsidRPr="005F7763">
              <w:t xml:space="preserve">) and self-regulatory guidelines. </w:t>
            </w:r>
          </w:p>
          <w:p w14:paraId="25AA9E17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5F7763">
              <w:t>4.3.7</w:t>
            </w:r>
            <w:r w:rsidRPr="005F7763">
              <w:tab/>
              <w:t xml:space="preserve">Monitor compliance with organizational or departmental compliance policies and procedures (e.g., continuing education requirements, prevention of fraudulent practices, record falsification or alteration, patient or customer abuse, lack of follow-up). </w:t>
            </w:r>
          </w:p>
          <w:p w14:paraId="25AA9E18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4.3.8</w:t>
            </w:r>
            <w:r w:rsidRPr="005F7763">
              <w:tab/>
              <w:t xml:space="preserve">Identify strategies for managing professional liability and malpractice risks (e.g., incompetent or impaired physicians, unnecessary procedures, patient or customer misconduct, service or medical errors, lack of training, poor documentation). </w:t>
            </w:r>
          </w:p>
        </w:tc>
      </w:tr>
    </w:tbl>
    <w:p w14:paraId="25AA9E1A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E1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1B" w14:textId="77777777" w:rsidR="005756B0" w:rsidRPr="005F7763" w:rsidRDefault="00742B45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br w:type="page"/>
            </w:r>
            <w:r w:rsidR="005756B0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1C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4.6</w:t>
            </w:r>
            <w:r w:rsidRPr="005F7763">
              <w:rPr>
                <w:b/>
              </w:rPr>
              <w:tab/>
              <w:t>Corporate Social Responsibility (CSR):</w:t>
            </w:r>
            <w:r w:rsidRPr="005F7763">
              <w:t xml:space="preserve"> Interpret, apply and communicate an organization’s ethics and social responsibility policies and code of conduct in routine and ambiguous situations. </w:t>
            </w:r>
          </w:p>
        </w:tc>
      </w:tr>
      <w:tr w:rsidR="005756B0" w:rsidRPr="005F7763" w14:paraId="25AA9E20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1E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1F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4.6.2</w:t>
            </w:r>
            <w:r w:rsidRPr="005F7763">
              <w:tab/>
              <w:t>Compare and contrast ethical challenges across industry sectors (e.g., healthcare, financial services, consumer products, manufacturing, retail) and functional areas (e.g., marketing, human resources, financial reporting).</w:t>
            </w:r>
          </w:p>
        </w:tc>
      </w:tr>
    </w:tbl>
    <w:p w14:paraId="25AA9E21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E24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22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lastRenderedPageBreak/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23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6.2</w:t>
            </w:r>
            <w:r w:rsidRPr="005F7763">
              <w:rPr>
                <w:b/>
              </w:rPr>
              <w:tab/>
              <w:t>Information Management:</w:t>
            </w:r>
            <w:r w:rsidRPr="005F7763">
              <w:t xml:space="preserve"> Institute and evaluate information management tools, policies, procedures and strategies to achieve business unit and organizational goals. </w:t>
            </w:r>
          </w:p>
        </w:tc>
      </w:tr>
      <w:tr w:rsidR="005756B0" w:rsidRPr="005F7763" w14:paraId="25AA9E2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25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26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6.2.1</w:t>
            </w:r>
            <w:r w:rsidRPr="005F7763">
              <w:tab/>
              <w:t>Apply information literacy skills to assess information needs, identify and evaluate information quality (e.g., sufficiency, trustworthiness or reliability), and apply information to accomplish a task.</w:t>
            </w:r>
          </w:p>
          <w:p w14:paraId="25AA9E27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6.2.2</w:t>
            </w:r>
            <w:r w:rsidRPr="005F7763">
              <w:tab/>
              <w:t xml:space="preserve">Manage business records to maintain needed documentation (e.g., routing orders, tracking shipments, expense reports, healthcare data, customer data, budget data, quality data, human resources data). </w:t>
            </w:r>
          </w:p>
          <w:p w14:paraId="25AA9E28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6.2.3</w:t>
            </w:r>
            <w:r w:rsidRPr="005F7763">
              <w:tab/>
              <w:t>Monitor and audit internal records.</w:t>
            </w:r>
          </w:p>
          <w:p w14:paraId="25AA9E29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6.2.4</w:t>
            </w:r>
            <w:r w:rsidRPr="005F7763">
              <w:tab/>
              <w:t>Identify critical artifacts requiring preservation, establish retention guidelines, and archive information according to retention systems and procedures and regulatory requirements.</w:t>
            </w:r>
          </w:p>
          <w:p w14:paraId="25AA9E2A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6.2.5</w:t>
            </w:r>
            <w:r w:rsidRPr="005F7763">
              <w:tab/>
              <w:t>Select and use tools, systems, and processes to manage the preparation of documentation for teams and projects in a cost-effective manner (e.g., agendas, reports, minutes, training materials, RFPs [Requests for Proposal], process analysis charts and diagrams).</w:t>
            </w:r>
          </w:p>
          <w:p w14:paraId="25AA9E2B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6.2.6</w:t>
            </w:r>
            <w:r w:rsidRPr="005F7763">
              <w:tab/>
              <w:t xml:space="preserve">Perform scheduling functions to facilitate on-time, prompt completion of work activities (e.g., calendars, travel arrangements and itineraries, meeting arrangements and requests for audio-visual or technical support and information). </w:t>
            </w:r>
          </w:p>
          <w:p w14:paraId="25AA9E2C" w14:textId="77777777" w:rsidR="005756B0" w:rsidRPr="005F7763" w:rsidRDefault="005756B0" w:rsidP="005F7763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</w:pPr>
            <w:r w:rsidRPr="005F7763">
              <w:t>6.2.9</w:t>
            </w:r>
            <w:r w:rsidRPr="005F7763">
              <w:tab/>
              <w:t>Create and institute policies and procedures to protect data and intangibles.</w:t>
            </w:r>
          </w:p>
        </w:tc>
      </w:tr>
    </w:tbl>
    <w:p w14:paraId="25AA9E2E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5756B0" w:rsidRPr="005F7763" w14:paraId="25AA9E31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2F" w14:textId="77777777" w:rsidR="005756B0" w:rsidRPr="005F7763" w:rsidRDefault="005F7763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>
              <w:br w:type="page"/>
            </w:r>
            <w:r w:rsidR="00FD31CD" w:rsidRPr="005F7763">
              <w:br w:type="page"/>
            </w:r>
            <w:r w:rsidR="00311760" w:rsidRPr="005F7763">
              <w:br w:type="page"/>
            </w:r>
            <w:r w:rsidR="005756B0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30" w14:textId="77777777" w:rsidR="005756B0" w:rsidRPr="005F7763" w:rsidRDefault="005756B0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6.3</w:t>
            </w:r>
            <w:r w:rsidRPr="005F7763">
              <w:rPr>
                <w:b/>
              </w:rPr>
              <w:tab/>
              <w:t xml:space="preserve">Business Applications: </w:t>
            </w:r>
            <w:r w:rsidRPr="005F7763">
              <w:t xml:space="preserve">Apply tools, processes and procedures to manage the efficient and effective use of technology to achieve organizational goals. </w:t>
            </w:r>
          </w:p>
        </w:tc>
      </w:tr>
      <w:tr w:rsidR="005756B0" w:rsidRPr="005F7763" w14:paraId="25AA9E35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32" w14:textId="77777777" w:rsidR="005756B0" w:rsidRPr="005F7763" w:rsidRDefault="005756B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33" w14:textId="77777777" w:rsidR="005756B0" w:rsidRPr="005F7763" w:rsidRDefault="005756B0" w:rsidP="005F7763">
            <w:pPr>
              <w:spacing w:before="60" w:after="60"/>
              <w:ind w:left="702" w:hanging="702"/>
            </w:pPr>
            <w:r w:rsidRPr="005F7763">
              <w:t>6.3.2</w:t>
            </w:r>
            <w:r w:rsidRPr="005F7763">
              <w:tab/>
              <w:t>Mine standard databases (e.g., accounting, customer, product, vendor, sales, operations, human resources, patient, supplier, procurement), apply analytical tools, and interpret the findings.</w:t>
            </w:r>
          </w:p>
          <w:p w14:paraId="25AA9E34" w14:textId="77777777" w:rsidR="005756B0" w:rsidRPr="005F7763" w:rsidRDefault="005756B0" w:rsidP="005F7763">
            <w:pPr>
              <w:spacing w:before="60" w:after="60"/>
              <w:ind w:left="702" w:hanging="702"/>
            </w:pPr>
            <w:r w:rsidRPr="005F7763">
              <w:t>6.3.10</w:t>
            </w:r>
            <w:r w:rsidRPr="005F7763">
              <w:tab/>
              <w:t>Manage data change risks (e.g., change authorization, change documentation, spreadsheet controls, test databases, offsite backups).</w:t>
            </w:r>
          </w:p>
        </w:tc>
      </w:tr>
    </w:tbl>
    <w:p w14:paraId="25AA9E36" w14:textId="77777777" w:rsidR="003D67D6" w:rsidRDefault="003D67D6"/>
    <w:p w14:paraId="25AA9E37" w14:textId="77777777" w:rsidR="003D67D6" w:rsidRDefault="003D67D6">
      <w:r>
        <w:br w:type="page"/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3A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38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lastRenderedPageBreak/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39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6.7</w:t>
            </w:r>
            <w:r w:rsidRPr="005F7763">
              <w:rPr>
                <w:b/>
              </w:rPr>
              <w:tab/>
              <w:t>Talent Onboarding and Development:</w:t>
            </w:r>
            <w:r w:rsidRPr="005F7763">
              <w:t xml:space="preserve"> Apply strategies, policies and procedures to orient new hires and provide growth opportunities to engage new and existing union and non-union employees in the workplace.</w:t>
            </w:r>
          </w:p>
        </w:tc>
      </w:tr>
      <w:tr w:rsidR="00E03B36" w:rsidRPr="005F7763" w14:paraId="25AA9E3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3B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3C" w14:textId="77777777" w:rsidR="00E03B36" w:rsidRPr="005F7763" w:rsidRDefault="00E03B36" w:rsidP="005F7763">
            <w:pPr>
              <w:pStyle w:val="ListParagraph"/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2" w:hanging="702"/>
              <w:contextualSpacing w:val="0"/>
            </w:pPr>
            <w:r w:rsidRPr="005F7763">
              <w:t>6.7.3</w:t>
            </w:r>
            <w:r w:rsidRPr="005F7763">
              <w:tab/>
              <w:t>Orient talent to organizational culture, values and norms using appropriate techniques (e.g., coaching or mentoring, cross-departmental networking, toolkits, training).</w:t>
            </w:r>
          </w:p>
        </w:tc>
      </w:tr>
    </w:tbl>
    <w:p w14:paraId="25AA9E3E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41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3F" w14:textId="77777777" w:rsidR="00E03B36" w:rsidRPr="005F7763" w:rsidRDefault="00742B45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br w:type="page"/>
            </w:r>
            <w:r w:rsidR="00E03B36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40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rPr>
                <w:b/>
              </w:rPr>
              <w:t>7.1</w:t>
            </w:r>
            <w:r w:rsidRPr="005F7763">
              <w:rPr>
                <w:b/>
              </w:rPr>
              <w:tab/>
              <w:t>Safety, Health and Security:</w:t>
            </w:r>
            <w:r w:rsidRPr="005F7763">
              <w:t xml:space="preserve"> Develop, administer and manage policies and procedures to promote business safety, health, and security and to reduce risk of loss.</w:t>
            </w:r>
          </w:p>
        </w:tc>
      </w:tr>
      <w:tr w:rsidR="00E03B36" w:rsidRPr="005F7763" w14:paraId="25AA9E49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42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43" w14:textId="77777777" w:rsidR="00E03B36" w:rsidRPr="005F7763" w:rsidRDefault="00E03B36" w:rsidP="005F7763">
            <w:pPr>
              <w:tabs>
                <w:tab w:val="left" w:pos="792"/>
                <w:tab w:val="left" w:pos="1980"/>
              </w:tabs>
              <w:spacing w:before="60" w:after="60"/>
              <w:ind w:left="702" w:hanging="702"/>
            </w:pPr>
            <w:r w:rsidRPr="005F7763">
              <w:t>7.1.1</w:t>
            </w:r>
            <w:r w:rsidRPr="005F7763">
              <w:tab/>
              <w:t>Promote adherence to health and safety regulations to support a safe work environment.</w:t>
            </w:r>
          </w:p>
          <w:p w14:paraId="25AA9E44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7.1.2</w:t>
            </w:r>
            <w:r w:rsidRPr="005F7763">
              <w:tab/>
              <w:t xml:space="preserve">Identify needed safety and security policies and procedures to protect organizational stakeholders (e.g., employees, contractors, directors and officers, customers, guests and visitors). </w:t>
            </w:r>
          </w:p>
          <w:p w14:paraId="25AA9E45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7.1.3</w:t>
            </w:r>
            <w:r w:rsidRPr="005F7763">
              <w:tab/>
              <w:t xml:space="preserve">Identify types of hazardous </w:t>
            </w:r>
            <w:proofErr w:type="gramStart"/>
            <w:r w:rsidRPr="005F7763">
              <w:t>materials, and</w:t>
            </w:r>
            <w:proofErr w:type="gramEnd"/>
            <w:r w:rsidRPr="005F7763">
              <w:t xml:space="preserve"> describe their impact on human health and environmental resources.   </w:t>
            </w:r>
          </w:p>
          <w:p w14:paraId="25AA9E46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7.1.4</w:t>
            </w:r>
            <w:r w:rsidRPr="005F7763">
              <w:tab/>
              <w:t xml:space="preserve">Describe the requirements for the treatment, storage, and disposal of hazardous materials, and evaluate the impact of hazardous material releases on organizational performance. </w:t>
            </w:r>
          </w:p>
          <w:p w14:paraId="25AA9E47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7.1.5</w:t>
            </w:r>
            <w:r w:rsidRPr="005F7763">
              <w:tab/>
              <w:t>Identify strategies for protecting business’s digital assets, customer data, and other confidential business information.</w:t>
            </w:r>
          </w:p>
          <w:p w14:paraId="25AA9E48" w14:textId="77777777" w:rsidR="00E03B36" w:rsidRPr="005F7763" w:rsidRDefault="00E03B36" w:rsidP="005F7763">
            <w:pPr>
              <w:tabs>
                <w:tab w:val="left" w:pos="702"/>
                <w:tab w:val="left" w:pos="792"/>
                <w:tab w:val="left" w:pos="1980"/>
              </w:tabs>
              <w:spacing w:before="60" w:after="60"/>
              <w:ind w:left="702" w:hanging="702"/>
            </w:pPr>
            <w:r w:rsidRPr="005F7763">
              <w:t>7.1.6</w:t>
            </w:r>
            <w:r w:rsidRPr="005F7763">
              <w:tab/>
              <w:t>Develop policies, procedures, performance aids, and monitoring activities to promote and support workplace security goals established within safety and security plans.</w:t>
            </w:r>
          </w:p>
        </w:tc>
      </w:tr>
    </w:tbl>
    <w:p w14:paraId="25AA9E4A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4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4B" w14:textId="77777777" w:rsidR="00E03B36" w:rsidRPr="005F7763" w:rsidRDefault="00311760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br w:type="page"/>
            </w:r>
            <w:r w:rsidR="00E03B36" w:rsidRPr="005F7763">
              <w:br w:type="page"/>
            </w:r>
            <w:r w:rsidR="00E03B36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4C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rPr>
                <w:b/>
              </w:rPr>
              <w:t>7.4</w:t>
            </w:r>
            <w:r w:rsidRPr="005F7763">
              <w:rPr>
                <w:b/>
              </w:rPr>
              <w:tab/>
              <w:t xml:space="preserve">Quality Management: </w:t>
            </w:r>
            <w:r w:rsidRPr="005F7763">
              <w:t>Design, implement, and manage quality-control processes to minimize errors, expedite workflow, and achieve performance objectives at a reasonable cost, using continuous improvement techniques (e.g., lean, Six Sigma or DMAIC [Define, Measure, Analyze, Improve, Control]).</w:t>
            </w:r>
          </w:p>
        </w:tc>
      </w:tr>
      <w:tr w:rsidR="00E03B36" w:rsidRPr="005F7763" w14:paraId="25AA9E50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4E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4F" w14:textId="77777777" w:rsidR="00E03B36" w:rsidRPr="005F7763" w:rsidRDefault="00A623C4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7.4.3</w:t>
            </w:r>
            <w:r w:rsidR="00E03B36" w:rsidRPr="005F7763">
              <w:tab/>
              <w:t xml:space="preserve">Evaluate the impact of quality on internal and external brand experience, reputation, financial performance (e.g., healthcare reimbursement), procurement and sourcing options, and process design. </w:t>
            </w:r>
          </w:p>
        </w:tc>
      </w:tr>
    </w:tbl>
    <w:p w14:paraId="25AA9E51" w14:textId="77777777" w:rsidR="005F7763" w:rsidRDefault="005F7763">
      <w:r>
        <w:br w:type="page"/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54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52" w14:textId="77777777" w:rsidR="00E03B36" w:rsidRPr="005F7763" w:rsidRDefault="00FD31CD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lastRenderedPageBreak/>
              <w:br w:type="page"/>
            </w:r>
            <w:r w:rsidR="00E03B36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53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rPr>
                <w:b/>
              </w:rPr>
              <w:t>7.8</w:t>
            </w:r>
            <w:r w:rsidRPr="005F7763">
              <w:rPr>
                <w:b/>
              </w:rPr>
              <w:tab/>
              <w:t>Operations Risk Management:</w:t>
            </w:r>
            <w:r w:rsidRPr="005F7763">
              <w:t xml:space="preserve"> Identify and execute strategies to reduce the risk of loss from operational failures to acceptable levels.</w:t>
            </w:r>
          </w:p>
        </w:tc>
      </w:tr>
      <w:tr w:rsidR="00E03B36" w:rsidRPr="005F7763" w14:paraId="25AA9E59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55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56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7.8.1</w:t>
            </w:r>
            <w:r w:rsidRPr="005F7763">
              <w:tab/>
              <w:t>Compare the costs of routine operational failures (e.g., execution errors, accidents, processing failures) with non-routine operational failures (e.g., fraud, conscious violation of professional ethics, acts of nature).</w:t>
            </w:r>
          </w:p>
          <w:p w14:paraId="25AA9E57" w14:textId="77777777" w:rsidR="00E03B36" w:rsidRPr="005F7763" w:rsidRDefault="00157FE6" w:rsidP="005F7763">
            <w:pPr>
              <w:spacing w:before="60" w:after="60"/>
              <w:ind w:left="702" w:hanging="702"/>
            </w:pPr>
            <w:r w:rsidRPr="005F7763">
              <w:t>7.8.3</w:t>
            </w:r>
            <w:r w:rsidRPr="005F7763">
              <w:tab/>
            </w:r>
            <w:r w:rsidR="00E03B36" w:rsidRPr="005F7763">
              <w:t>Describe strategies for reducing the risk of routine and non-routine operational risk as staffing size and organizational complexity increase (e.g., automation, procedures, checklists).</w:t>
            </w:r>
          </w:p>
          <w:p w14:paraId="25AA9E58" w14:textId="77777777" w:rsidR="00311760" w:rsidRPr="005F7763" w:rsidRDefault="00E03B36" w:rsidP="005F7763">
            <w:pPr>
              <w:spacing w:before="60" w:after="60"/>
              <w:ind w:left="702" w:hanging="702"/>
            </w:pPr>
            <w:r w:rsidRPr="005F7763">
              <w:t>7.8.6</w:t>
            </w:r>
            <w:r w:rsidRPr="005F7763">
              <w:tab/>
              <w:t>Develop alternative strategy for performing operational duties in a disaster situation.</w:t>
            </w:r>
          </w:p>
        </w:tc>
      </w:tr>
    </w:tbl>
    <w:p w14:paraId="25AA9E5A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5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5B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5C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8.3</w:t>
            </w:r>
            <w:r w:rsidRPr="005F7763">
              <w:rPr>
                <w:b/>
              </w:rPr>
              <w:tab/>
              <w:t>Project Management:</w:t>
            </w:r>
            <w:r w:rsidRPr="005F7763">
              <w:t xml:space="preserve"> Plan, manage, monitor, and control projects to improve workflow, minimize costs, and achieve intended project outcomes using planning and project-management tools.</w:t>
            </w:r>
          </w:p>
        </w:tc>
      </w:tr>
      <w:tr w:rsidR="00E03B36" w:rsidRPr="005F7763" w14:paraId="25AA9E60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5E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5F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8.3.4</w:t>
            </w:r>
            <w:r w:rsidRPr="005F7763">
              <w:tab/>
              <w:t>Document, sequence, allocate, and schedule activities to facilitate on-time and on-budget completion of project by qualified resources.</w:t>
            </w:r>
          </w:p>
        </w:tc>
      </w:tr>
    </w:tbl>
    <w:p w14:paraId="25AA9E61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64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62" w14:textId="77777777" w:rsidR="00E03B36" w:rsidRPr="005F7763" w:rsidRDefault="00742B45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br w:type="page"/>
            </w:r>
            <w:r w:rsidR="00E03B36"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63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8.6</w:t>
            </w:r>
            <w:r w:rsidRPr="005F7763">
              <w:rPr>
                <w:b/>
              </w:rPr>
              <w:tab/>
              <w:t>Medical Operations:</w:t>
            </w:r>
            <w:r w:rsidRPr="005F7763">
              <w:t xml:space="preserve"> Develop foundational skills and knowledge to execute the operational processes in medical offices.</w:t>
            </w:r>
          </w:p>
        </w:tc>
      </w:tr>
      <w:tr w:rsidR="00E03B36" w:rsidRPr="005F7763" w14:paraId="25AA9E72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65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66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8.6.1</w:t>
            </w:r>
            <w:r w:rsidRPr="005F7763">
              <w:tab/>
              <w:t xml:space="preserve">Register, screen, and direct patients and non-patient visitors. </w:t>
            </w:r>
          </w:p>
          <w:p w14:paraId="25AA9E67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8.6.2</w:t>
            </w:r>
            <w:r w:rsidRPr="005F7763">
              <w:tab/>
              <w:t xml:space="preserve">Adapt patient handling approach to address cultural needs of different patient groups (e.g., elderly, non-native English speaking). </w:t>
            </w:r>
          </w:p>
          <w:p w14:paraId="25AA9E68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8.6.3</w:t>
            </w:r>
            <w:r w:rsidRPr="005F7763">
              <w:tab/>
              <w:t xml:space="preserve">Prepare data for a referring physician. </w:t>
            </w:r>
          </w:p>
          <w:p w14:paraId="25AA9E69" w14:textId="77777777" w:rsidR="00E03B36" w:rsidRPr="005F7763" w:rsidRDefault="00E03B36" w:rsidP="005F7763">
            <w:pPr>
              <w:spacing w:before="60" w:after="60"/>
              <w:ind w:left="702" w:hanging="702"/>
              <w:rPr>
                <w:b/>
              </w:rPr>
            </w:pPr>
            <w:r w:rsidRPr="005F7763">
              <w:t>8.6.4</w:t>
            </w:r>
            <w:r w:rsidRPr="005F7763">
              <w:tab/>
              <w:t>Recognize and respond to medical emergencies based on protocols, standard triage procedures, and first aid and cardiopulmonary resuscitation (CPR) practices.</w:t>
            </w:r>
          </w:p>
          <w:p w14:paraId="25AA9E6A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8.6.5</w:t>
            </w:r>
            <w:r w:rsidRPr="005F7763">
              <w:tab/>
              <w:t>Conduct telephone triage procedures to obtain information required to identify urgency of needs and properly direct phone calls.</w:t>
            </w:r>
          </w:p>
          <w:p w14:paraId="25AA9E6B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8.6.6</w:t>
            </w:r>
            <w:r w:rsidRPr="005F7763">
              <w:tab/>
              <w:t xml:space="preserve">Determine the cause of denied insurance </w:t>
            </w:r>
            <w:proofErr w:type="gramStart"/>
            <w:r w:rsidRPr="005F7763">
              <w:t>claims, and</w:t>
            </w:r>
            <w:proofErr w:type="gramEnd"/>
            <w:r w:rsidRPr="005F7763">
              <w:t xml:space="preserve"> recommend follow-up actions to resolve claims.</w:t>
            </w:r>
          </w:p>
          <w:p w14:paraId="25AA9E6C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8.6.7</w:t>
            </w:r>
            <w:r w:rsidRPr="005F7763">
              <w:tab/>
              <w:t>Process payments on accepted insurance claim, and post adjustments and write-offs.</w:t>
            </w:r>
          </w:p>
          <w:p w14:paraId="25AA9E6D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8.6.8</w:t>
            </w:r>
            <w:r w:rsidRPr="005F7763">
              <w:tab/>
              <w:t xml:space="preserve">Initiate procedures to collect remaining balances (e.g., bill patient </w:t>
            </w:r>
            <w:r w:rsidRPr="005F7763">
              <w:lastRenderedPageBreak/>
              <w:t>responsibility, initiate secondary insurance claim).</w:t>
            </w:r>
          </w:p>
          <w:p w14:paraId="25AA9E6E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8.6.9</w:t>
            </w:r>
            <w:r w:rsidRPr="005F7763">
              <w:tab/>
              <w:t xml:space="preserve">Analyze and establish fee schedules and discounts. </w:t>
            </w:r>
          </w:p>
          <w:p w14:paraId="25AA9E6F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8.6.10</w:t>
            </w:r>
            <w:r w:rsidRPr="005F7763">
              <w:tab/>
              <w:t xml:space="preserve">Manage a scheduling and registration system (e.g., monitor patient flow, verify insurance coverage, confirm appointments, process referrals). </w:t>
            </w:r>
          </w:p>
          <w:p w14:paraId="25AA9E70" w14:textId="77777777" w:rsidR="00E03B36" w:rsidRPr="005F7763" w:rsidRDefault="00E03B36" w:rsidP="005F7763">
            <w:pPr>
              <w:tabs>
                <w:tab w:val="left" w:pos="882"/>
                <w:tab w:val="left" w:pos="1980"/>
              </w:tabs>
              <w:spacing w:before="60" w:after="60"/>
              <w:ind w:left="702" w:hanging="702"/>
            </w:pPr>
            <w:r w:rsidRPr="005F7763">
              <w:t>8.6.11</w:t>
            </w:r>
            <w:r w:rsidRPr="005F7763">
              <w:tab/>
              <w:t>Complete and maintain the medical office credentialing process.</w:t>
            </w:r>
          </w:p>
          <w:p w14:paraId="25AA9E71" w14:textId="77777777" w:rsidR="00311760" w:rsidRPr="005F7763" w:rsidRDefault="00E03B36" w:rsidP="005F7763">
            <w:pPr>
              <w:tabs>
                <w:tab w:val="left" w:pos="882"/>
                <w:tab w:val="left" w:pos="1980"/>
              </w:tabs>
              <w:spacing w:before="60" w:after="60"/>
              <w:ind w:left="702" w:hanging="702"/>
            </w:pPr>
            <w:r w:rsidRPr="005F7763">
              <w:t>8.6.12</w:t>
            </w:r>
            <w:r w:rsidRPr="005F7763">
              <w:tab/>
              <w:t>Prepare for on-site inspection by credentialing authority.</w:t>
            </w:r>
          </w:p>
        </w:tc>
      </w:tr>
    </w:tbl>
    <w:p w14:paraId="25AA9E73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76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74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75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8.7</w:t>
            </w:r>
            <w:r w:rsidRPr="005F7763">
              <w:rPr>
                <w:b/>
              </w:rPr>
              <w:tab/>
              <w:t>Medical Coding and Billing:</w:t>
            </w:r>
            <w:r w:rsidRPr="005F7763">
              <w:t xml:space="preserve"> Code and bill medical procedures in accordance with applicable requirements and guidelines.  </w:t>
            </w:r>
          </w:p>
        </w:tc>
      </w:tr>
      <w:tr w:rsidR="00E03B36" w:rsidRPr="005F7763" w14:paraId="25AA9E85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77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  <w:vAlign w:val="center"/>
          </w:tcPr>
          <w:p w14:paraId="25AA9E78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8.7.1</w:t>
            </w:r>
            <w:r w:rsidRPr="005F7763">
              <w:tab/>
              <w:t xml:space="preserve">Explain the need for standardized patient terminology in insurance coding and processing. </w:t>
            </w:r>
          </w:p>
          <w:p w14:paraId="25AA9E79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8.7.2</w:t>
            </w:r>
            <w:r w:rsidRPr="005F7763">
              <w:tab/>
              <w:t xml:space="preserve">Identify coding conventions used to obtain standardization. </w:t>
            </w:r>
          </w:p>
          <w:p w14:paraId="25AA9E7A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8.7.3</w:t>
            </w:r>
            <w:r w:rsidRPr="005F7763">
              <w:tab/>
              <w:t>Explain the health-care insurance system and factors impacting processing and payment of insurance claims (e.g., eligibility, insurance networks, primary and secondary providers).</w:t>
            </w:r>
          </w:p>
          <w:p w14:paraId="25AA9E7B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8.7.4</w:t>
            </w:r>
            <w:r w:rsidRPr="005F7763">
              <w:tab/>
              <w:t xml:space="preserve">Identify the appropriate section of authorized resources (e.g., ICD-10-CM alphabetical index and tabular list) to locate and assign a code at the highest level of detail required for the code to be valid. </w:t>
            </w:r>
          </w:p>
          <w:p w14:paraId="25AA9E7C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8.7.5</w:t>
            </w:r>
            <w:r w:rsidRPr="005F7763">
              <w:tab/>
              <w:t>Identify condition modifiers that impact code selection (e.g., acute or chronic condition, late effects, secondary manifestations or complications, threatened condition, laterality, syndromes).</w:t>
            </w:r>
          </w:p>
          <w:p w14:paraId="25AA9E7D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8.7.6</w:t>
            </w:r>
            <w:r w:rsidRPr="005F7763">
              <w:tab/>
              <w:t>Identify diagnoses and conditions that have specific coding guidelines in addition to general guidelines (e.g., Human Immunodeficiency Virus [HIV], antibiotic resistant infections, sepsis, neoplasms, blood diseases), and evaluate factors influencing the reporting and collection of data on these diagnoses or conditions.</w:t>
            </w:r>
          </w:p>
          <w:p w14:paraId="25AA9E7E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8.7.7</w:t>
            </w:r>
            <w:r w:rsidRPr="005F7763">
              <w:tab/>
              <w:t>Code diseases for human anatomical systems (e.g., endocrine, nervous, circulatory, respiratory, digestive, musculoskeletal).</w:t>
            </w:r>
          </w:p>
          <w:p w14:paraId="25AA9E7F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8.7.8</w:t>
            </w:r>
            <w:r w:rsidRPr="005F7763">
              <w:tab/>
              <w:t>Code obstetric and perinatal conditions and progressions.</w:t>
            </w:r>
          </w:p>
          <w:p w14:paraId="25AA9E80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8.7.9</w:t>
            </w:r>
            <w:r w:rsidRPr="005F7763">
              <w:tab/>
              <w:t>Code external causes of injury, poisoning, and morbidity.</w:t>
            </w:r>
          </w:p>
          <w:p w14:paraId="25AA9E81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8.7.10</w:t>
            </w:r>
            <w:r w:rsidRPr="005F7763">
              <w:tab/>
              <w:t>Code outpatient services.</w:t>
            </w:r>
          </w:p>
          <w:p w14:paraId="25AA9E82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8.7.11</w:t>
            </w:r>
            <w:r w:rsidRPr="005F7763">
              <w:tab/>
              <w:t>Distinguish between principal diagnosis and additional diagnoses.</w:t>
            </w:r>
          </w:p>
          <w:p w14:paraId="25AA9E83" w14:textId="77777777" w:rsidR="00E03B36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8.7.12</w:t>
            </w:r>
            <w:r w:rsidRPr="005F7763">
              <w:tab/>
              <w:t xml:space="preserve">Complete required procedures and insurance forms for private insurance carriers, self-pay patients, and government-insured patients using the coding of the International Classification of Diseases (ICD10) and Current Procedural </w:t>
            </w:r>
            <w:r w:rsidRPr="005F7763">
              <w:lastRenderedPageBreak/>
              <w:t xml:space="preserve">Terminology (CPT) coding systems. </w:t>
            </w:r>
          </w:p>
          <w:p w14:paraId="25AA9E84" w14:textId="77777777" w:rsidR="00311760" w:rsidRPr="005F7763" w:rsidRDefault="00E03B36" w:rsidP="005F7763">
            <w:pPr>
              <w:pStyle w:val="ListParagraph"/>
              <w:spacing w:before="60" w:after="60"/>
              <w:ind w:left="702" w:hanging="702"/>
              <w:contextualSpacing w:val="0"/>
            </w:pPr>
            <w:r w:rsidRPr="005F7763">
              <w:t>8.7.13</w:t>
            </w:r>
            <w:r w:rsidRPr="005F7763">
              <w:tab/>
              <w:t xml:space="preserve">Identify required data </w:t>
            </w:r>
            <w:proofErr w:type="gramStart"/>
            <w:r w:rsidRPr="005F7763">
              <w:t>elements, and</w:t>
            </w:r>
            <w:proofErr w:type="gramEnd"/>
            <w:r w:rsidRPr="005F7763">
              <w:t xml:space="preserve"> manage the conversion of patient information to electronic medical records (e.g., manage data collection; process consent forms; input, review, edit documents).  </w:t>
            </w:r>
          </w:p>
        </w:tc>
      </w:tr>
    </w:tbl>
    <w:p w14:paraId="25AA9E86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89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87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</w:tcPr>
          <w:p w14:paraId="25AA9E88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9.4</w:t>
            </w:r>
            <w:r w:rsidRPr="005F7763">
              <w:rPr>
                <w:b/>
              </w:rPr>
              <w:tab/>
              <w:t>Internal Controls:</w:t>
            </w:r>
            <w:r w:rsidRPr="005F7763">
              <w:t xml:space="preserve"> Establish suitable internal controls to ensure the proper recording and reporting of transactions in compliance with applicable standards. </w:t>
            </w:r>
          </w:p>
        </w:tc>
      </w:tr>
      <w:tr w:rsidR="00E03B36" w:rsidRPr="005F7763" w14:paraId="25AA9E8D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8A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</w:tcPr>
          <w:p w14:paraId="25AA9E8B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9.4.4</w:t>
            </w:r>
            <w:r w:rsidRPr="005F7763">
              <w:tab/>
              <w:t xml:space="preserve">Develop and implement internal control procedures (e.g., cash controls, inventory controls, payroll controls, plant asset controls, data protection, personal information controls). </w:t>
            </w:r>
          </w:p>
          <w:p w14:paraId="25AA9E8C" w14:textId="77777777" w:rsidR="00E03B36" w:rsidRPr="005F7763" w:rsidRDefault="00E03B36" w:rsidP="005F7763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5F7763">
              <w:t>9.4.5</w:t>
            </w:r>
            <w:r w:rsidRPr="005F7763">
              <w:tab/>
              <w:t xml:space="preserve">Inspect and ensure the continued functioning of internal controls. </w:t>
            </w:r>
          </w:p>
        </w:tc>
      </w:tr>
    </w:tbl>
    <w:p w14:paraId="25AA9E8E" w14:textId="77777777" w:rsidR="003D67D6" w:rsidRDefault="003D67D6"/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548"/>
        <w:gridCol w:w="8032"/>
      </w:tblGrid>
      <w:tr w:rsidR="00E03B36" w:rsidRPr="005F7763" w14:paraId="25AA9E91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8F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Outcome</w:t>
            </w:r>
          </w:p>
        </w:tc>
        <w:tc>
          <w:tcPr>
            <w:tcW w:w="4192" w:type="pct"/>
            <w:shd w:val="clear" w:color="auto" w:fill="auto"/>
          </w:tcPr>
          <w:p w14:paraId="25AA9E90" w14:textId="77777777" w:rsidR="00E03B36" w:rsidRPr="005F7763" w:rsidRDefault="00E03B36" w:rsidP="005F7763">
            <w:pPr>
              <w:tabs>
                <w:tab w:val="left" w:pos="1980"/>
              </w:tabs>
              <w:spacing w:before="60" w:after="60"/>
              <w:ind w:left="702" w:hanging="702"/>
            </w:pPr>
            <w:r w:rsidRPr="005F7763">
              <w:rPr>
                <w:b/>
              </w:rPr>
              <w:t>10.3</w:t>
            </w:r>
            <w:r w:rsidRPr="005F7763">
              <w:rPr>
                <w:b/>
              </w:rPr>
              <w:tab/>
              <w:t>Change Management:</w:t>
            </w:r>
            <w:r w:rsidRPr="005F7763">
              <w:t xml:space="preserve"> Adapt to, manage, and create change initiatives in an organization to accomplish organizational objectives.</w:t>
            </w:r>
          </w:p>
        </w:tc>
      </w:tr>
      <w:tr w:rsidR="00E03B36" w:rsidRPr="005F7763" w14:paraId="25AA9E94" w14:textId="77777777" w:rsidTr="003D67D6">
        <w:tc>
          <w:tcPr>
            <w:tcW w:w="808" w:type="pct"/>
            <w:shd w:val="clear" w:color="auto" w:fill="B8CCE4" w:themeFill="accent1" w:themeFillTint="66"/>
            <w:vAlign w:val="center"/>
          </w:tcPr>
          <w:p w14:paraId="25AA9E92" w14:textId="77777777" w:rsidR="00E03B36" w:rsidRPr="005F7763" w:rsidRDefault="00E03B36" w:rsidP="005F7763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5F7763">
              <w:rPr>
                <w:b/>
              </w:rPr>
              <w:t>Competencies</w:t>
            </w:r>
          </w:p>
        </w:tc>
        <w:tc>
          <w:tcPr>
            <w:tcW w:w="4192" w:type="pct"/>
            <w:shd w:val="clear" w:color="auto" w:fill="auto"/>
          </w:tcPr>
          <w:p w14:paraId="25AA9E93" w14:textId="77777777" w:rsidR="00E03B36" w:rsidRPr="005F7763" w:rsidRDefault="00E03B36" w:rsidP="005F7763">
            <w:pPr>
              <w:spacing w:before="60" w:after="60"/>
              <w:ind w:left="702" w:hanging="702"/>
            </w:pPr>
            <w:r w:rsidRPr="005F7763">
              <w:t>10.3.4</w:t>
            </w:r>
            <w:r w:rsidRPr="005F7763">
              <w:tab/>
              <w:t>Evaluate opportunities for company or departmental changes.</w:t>
            </w:r>
          </w:p>
        </w:tc>
      </w:tr>
    </w:tbl>
    <w:p w14:paraId="25AA9E95" w14:textId="77777777" w:rsidR="00FB6528" w:rsidRDefault="00FB6528"/>
    <w:sectPr w:rsidR="00D37E2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A9E98" w14:textId="77777777" w:rsidR="00C8367E" w:rsidRDefault="00C8367E" w:rsidP="003D67D6">
      <w:pPr>
        <w:spacing w:after="0" w:line="240" w:lineRule="auto"/>
      </w:pPr>
      <w:r>
        <w:separator/>
      </w:r>
    </w:p>
  </w:endnote>
  <w:endnote w:type="continuationSeparator" w:id="0">
    <w:p w14:paraId="25AA9E99" w14:textId="77777777" w:rsidR="00C8367E" w:rsidRDefault="00C8367E" w:rsidP="003D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A9E96" w14:textId="77777777" w:rsidR="00C8367E" w:rsidRDefault="00C8367E" w:rsidP="003D67D6">
      <w:pPr>
        <w:spacing w:after="0" w:line="240" w:lineRule="auto"/>
      </w:pPr>
      <w:r>
        <w:separator/>
      </w:r>
    </w:p>
  </w:footnote>
  <w:footnote w:type="continuationSeparator" w:id="0">
    <w:p w14:paraId="25AA9E97" w14:textId="77777777" w:rsidR="00C8367E" w:rsidRDefault="00C8367E" w:rsidP="003D6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3D67D6" w:rsidRPr="001C61C1" w14:paraId="25AA9E9F" w14:textId="77777777" w:rsidTr="004F75A1">
      <w:tc>
        <w:tcPr>
          <w:tcW w:w="800" w:type="pct"/>
          <w:shd w:val="clear" w:color="auto" w:fill="244061" w:themeFill="accent1" w:themeFillShade="80"/>
        </w:tcPr>
        <w:p w14:paraId="25AA9E9B" w14:textId="3764060E" w:rsidR="003D67D6" w:rsidRPr="001C61C1" w:rsidRDefault="003D67D6" w:rsidP="004F75A1">
          <w:pPr>
            <w:rPr>
              <w:b/>
            </w:rPr>
          </w:pPr>
          <w:r w:rsidRPr="001C61C1">
            <w:rPr>
              <w:b/>
            </w:rPr>
            <w:t>Career Field</w:t>
          </w:r>
        </w:p>
      </w:tc>
      <w:tc>
        <w:tcPr>
          <w:tcW w:w="3857" w:type="pct"/>
        </w:tcPr>
        <w:p w14:paraId="25AA9E9C" w14:textId="77777777" w:rsidR="003D67D6" w:rsidRPr="003223A4" w:rsidRDefault="003D67D6" w:rsidP="004F75A1">
          <w:r>
            <w:t>Business and Administrative Services, Finance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14:paraId="25AA9E9D" w14:textId="77777777" w:rsidR="003D67D6" w:rsidRPr="001C61C1" w:rsidRDefault="003D67D6" w:rsidP="004F75A1">
          <w:pPr>
            <w:jc w:val="right"/>
            <w:rPr>
              <w:b/>
            </w:rPr>
          </w:pPr>
          <w:r>
            <w:rPr>
              <w:b/>
            </w:rPr>
            <w:t>Page</w:t>
          </w:r>
        </w:p>
        <w:p w14:paraId="25AA9E9E" w14:textId="77777777" w:rsidR="003D67D6" w:rsidRPr="001C61C1" w:rsidRDefault="003D67D6" w:rsidP="004F75A1">
          <w:pPr>
            <w:jc w:val="right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8367E" w:rsidRPr="00C8367E">
            <w:rPr>
              <w:b/>
              <w:noProof/>
            </w:rPr>
            <w:t>1</w:t>
          </w:r>
          <w:r>
            <w:rPr>
              <w:b/>
              <w:noProof/>
            </w:rPr>
            <w:fldChar w:fldCharType="end"/>
          </w:r>
        </w:p>
      </w:tc>
    </w:tr>
    <w:tr w:rsidR="003D67D6" w:rsidRPr="001C61C1" w14:paraId="25AA9EA3" w14:textId="77777777" w:rsidTr="004F75A1">
      <w:tc>
        <w:tcPr>
          <w:tcW w:w="800" w:type="pct"/>
          <w:shd w:val="clear" w:color="auto" w:fill="244061" w:themeFill="accent1" w:themeFillShade="80"/>
        </w:tcPr>
        <w:p w14:paraId="25AA9EA0" w14:textId="77777777" w:rsidR="003D67D6" w:rsidRPr="001C61C1" w:rsidRDefault="003D67D6" w:rsidP="004F75A1">
          <w:pPr>
            <w:rPr>
              <w:b/>
            </w:rPr>
          </w:pPr>
          <w:r>
            <w:rPr>
              <w:b/>
            </w:rPr>
            <w:t>Course Name</w:t>
          </w:r>
        </w:p>
      </w:tc>
      <w:tc>
        <w:tcPr>
          <w:tcW w:w="3857" w:type="pct"/>
        </w:tcPr>
        <w:p w14:paraId="25AA9EA1" w14:textId="77777777" w:rsidR="003D67D6" w:rsidRPr="003223A4" w:rsidRDefault="003D67D6" w:rsidP="004F75A1">
          <w:r>
            <w:t>Medical Office Management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25AA9EA2" w14:textId="77777777" w:rsidR="003D67D6" w:rsidRPr="001C61C1" w:rsidRDefault="003D67D6" w:rsidP="004F75A1">
          <w:pPr>
            <w:jc w:val="right"/>
            <w:rPr>
              <w:b/>
            </w:rPr>
          </w:pPr>
        </w:p>
      </w:tc>
    </w:tr>
    <w:tr w:rsidR="003D67D6" w:rsidRPr="001C61C1" w14:paraId="25AA9EA7" w14:textId="77777777" w:rsidTr="004F75A1">
      <w:tc>
        <w:tcPr>
          <w:tcW w:w="800" w:type="pct"/>
          <w:shd w:val="clear" w:color="auto" w:fill="244061" w:themeFill="accent1" w:themeFillShade="80"/>
        </w:tcPr>
        <w:p w14:paraId="25AA9EA4" w14:textId="0BC522C8" w:rsidR="003D67D6" w:rsidRDefault="003D67D6" w:rsidP="004F75A1">
          <w:pPr>
            <w:rPr>
              <w:b/>
            </w:rPr>
          </w:pPr>
          <w:r>
            <w:rPr>
              <w:b/>
            </w:rPr>
            <w:t>Description</w:t>
          </w:r>
        </w:p>
      </w:tc>
      <w:tc>
        <w:tcPr>
          <w:tcW w:w="3857" w:type="pct"/>
        </w:tcPr>
        <w:p w14:paraId="25AA9EA5" w14:textId="77777777" w:rsidR="003D67D6" w:rsidRPr="00DD7AE6" w:rsidRDefault="003D67D6" w:rsidP="004F75A1">
          <w:r w:rsidRPr="008C35EF">
            <w:t xml:space="preserve">Students will carry out procedures used to manage people and </w:t>
          </w:r>
          <w:r>
            <w:t>information</w:t>
          </w:r>
          <w:r w:rsidRPr="008C35EF">
            <w:t xml:space="preserve"> in medical offices.  Students will code medical procedures in accordance with applicable guidelines as well as </w:t>
          </w:r>
          <w:r>
            <w:t xml:space="preserve">use technology to convert </w:t>
          </w:r>
          <w:r w:rsidRPr="008C35EF">
            <w:t xml:space="preserve">patient information to electronic medical records. They will </w:t>
          </w:r>
          <w:r>
            <w:t xml:space="preserve">also </w:t>
          </w:r>
          <w:r w:rsidRPr="008C35EF">
            <w:t xml:space="preserve">manage the insurance </w:t>
          </w:r>
          <w:r>
            <w:t>billing and collection process, utilize a patient scheduling and registration system, and develop a compliance program. Medical office safety and security</w:t>
          </w:r>
          <w:r w:rsidRPr="00FD669B">
            <w:t xml:space="preserve"> will be emphasized</w:t>
          </w:r>
          <w:r>
            <w:t>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25AA9EA6" w14:textId="77777777" w:rsidR="003D67D6" w:rsidRPr="001C61C1" w:rsidRDefault="003D67D6" w:rsidP="004F75A1">
          <w:pPr>
            <w:rPr>
              <w:b/>
            </w:rPr>
          </w:pPr>
        </w:p>
      </w:tc>
    </w:tr>
  </w:tbl>
  <w:p w14:paraId="25AA9EA8" w14:textId="13492294" w:rsidR="003D67D6" w:rsidRDefault="00577468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155028C" wp14:editId="28EA0188">
          <wp:simplePos x="0" y="0"/>
          <wp:positionH relativeFrom="column">
            <wp:posOffset>-858520</wp:posOffset>
          </wp:positionH>
          <wp:positionV relativeFrom="paragraph">
            <wp:posOffset>-1993900</wp:posOffset>
          </wp:positionV>
          <wp:extent cx="7665875" cy="9920544"/>
          <wp:effectExtent l="0" t="0" r="0" b="0"/>
          <wp:wrapNone/>
          <wp:docPr id="6566231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99C"/>
    <w:multiLevelType w:val="multilevel"/>
    <w:tmpl w:val="AE30E11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0FF528C"/>
    <w:multiLevelType w:val="multilevel"/>
    <w:tmpl w:val="C7FC94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9BB00AF"/>
    <w:multiLevelType w:val="hybridMultilevel"/>
    <w:tmpl w:val="641A9B76"/>
    <w:lvl w:ilvl="0" w:tplc="8B967F12">
      <w:start w:val="1"/>
      <w:numFmt w:val="decimal"/>
      <w:lvlText w:val="1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A06F4"/>
    <w:multiLevelType w:val="multilevel"/>
    <w:tmpl w:val="9ECA1C9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92259C6"/>
    <w:multiLevelType w:val="multilevel"/>
    <w:tmpl w:val="EA903B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60917754">
    <w:abstractNumId w:val="4"/>
  </w:num>
  <w:num w:numId="2" w16cid:durableId="1983539900">
    <w:abstractNumId w:val="1"/>
  </w:num>
  <w:num w:numId="3" w16cid:durableId="898438672">
    <w:abstractNumId w:val="2"/>
  </w:num>
  <w:num w:numId="4" w16cid:durableId="907691510">
    <w:abstractNumId w:val="3"/>
  </w:num>
  <w:num w:numId="5" w16cid:durableId="1000695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CCE"/>
    <w:rsid w:val="00095194"/>
    <w:rsid w:val="00104626"/>
    <w:rsid w:val="00113522"/>
    <w:rsid w:val="001219F1"/>
    <w:rsid w:val="0013692A"/>
    <w:rsid w:val="00157FE6"/>
    <w:rsid w:val="00196331"/>
    <w:rsid w:val="001C699E"/>
    <w:rsid w:val="002E43F5"/>
    <w:rsid w:val="002F7FF4"/>
    <w:rsid w:val="00311760"/>
    <w:rsid w:val="003D67D6"/>
    <w:rsid w:val="00466117"/>
    <w:rsid w:val="004F09E3"/>
    <w:rsid w:val="005025AF"/>
    <w:rsid w:val="00567E9D"/>
    <w:rsid w:val="005756B0"/>
    <w:rsid w:val="00577468"/>
    <w:rsid w:val="00583B86"/>
    <w:rsid w:val="005952DD"/>
    <w:rsid w:val="005E6AAF"/>
    <w:rsid w:val="005F7763"/>
    <w:rsid w:val="006033A2"/>
    <w:rsid w:val="00715854"/>
    <w:rsid w:val="00742B45"/>
    <w:rsid w:val="007F6DA4"/>
    <w:rsid w:val="00814F4D"/>
    <w:rsid w:val="00893EAB"/>
    <w:rsid w:val="008C35EF"/>
    <w:rsid w:val="00931583"/>
    <w:rsid w:val="0098332E"/>
    <w:rsid w:val="00A11CCE"/>
    <w:rsid w:val="00A45150"/>
    <w:rsid w:val="00A623C4"/>
    <w:rsid w:val="00A62534"/>
    <w:rsid w:val="00A87EF9"/>
    <w:rsid w:val="00AD1718"/>
    <w:rsid w:val="00AF54B0"/>
    <w:rsid w:val="00BE088E"/>
    <w:rsid w:val="00BF2E93"/>
    <w:rsid w:val="00C27F23"/>
    <w:rsid w:val="00C8367E"/>
    <w:rsid w:val="00D77519"/>
    <w:rsid w:val="00D852D5"/>
    <w:rsid w:val="00DD7203"/>
    <w:rsid w:val="00E03B36"/>
    <w:rsid w:val="00E77247"/>
    <w:rsid w:val="00EE13F5"/>
    <w:rsid w:val="00FB6528"/>
    <w:rsid w:val="00FD31CD"/>
    <w:rsid w:val="00FD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AA9DD6"/>
  <w15:docId w15:val="{3AF10CAB-0280-478C-A15F-319E40C1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CCE"/>
    <w:pPr>
      <w:ind w:left="720"/>
      <w:contextualSpacing/>
    </w:pPr>
  </w:style>
  <w:style w:type="table" w:styleId="TableGrid">
    <w:name w:val="Table Grid"/>
    <w:basedOn w:val="TableNormal"/>
    <w:uiPriority w:val="59"/>
    <w:rsid w:val="00A1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1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9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7D6"/>
  </w:style>
  <w:style w:type="paragraph" w:styleId="Footer">
    <w:name w:val="footer"/>
    <w:basedOn w:val="Normal"/>
    <w:link w:val="FooterChar"/>
    <w:uiPriority w:val="99"/>
    <w:unhideWhenUsed/>
    <w:rsid w:val="003D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D0E4E-76B3-4F87-93B8-2B683080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Office Management</dc:title>
  <dc:creator>OhioDepartmentofEducation5@ohiodas.onmicrosoft.com</dc:creator>
  <cp:keywords>Medical,Office,Management</cp:keywords>
  <cp:lastModifiedBy>Brown, Woodrow</cp:lastModifiedBy>
  <cp:revision>8</cp:revision>
  <dcterms:created xsi:type="dcterms:W3CDTF">2014-02-26T16:11:00Z</dcterms:created>
  <dcterms:modified xsi:type="dcterms:W3CDTF">2024-10-22T22:29:00Z</dcterms:modified>
</cp:coreProperties>
</file>