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F950CD" w14:textId="77777777" w:rsidR="000D4BDC" w:rsidRDefault="000D4BDC" w:rsidP="000D4BDC">
      <w:pPr>
        <w:spacing w:after="0" w:line="240" w:lineRule="auto"/>
      </w:pPr>
    </w:p>
    <w:p w14:paraId="159DA889"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5C573E00" w14:textId="77777777" w:rsidR="000D4BDC" w:rsidRDefault="00A353A8" w:rsidP="00874B7A">
      <w:pPr>
        <w:spacing w:after="0" w:line="240" w:lineRule="auto"/>
        <w:rPr>
          <w:rFonts w:ascii="Calibri" w:eastAsia="Times New Roman" w:hAnsi="Calibri" w:cs="Times New Roman"/>
          <w:szCs w:val="24"/>
        </w:rPr>
      </w:pPr>
      <w:r w:rsidRPr="00A353A8">
        <w:rPr>
          <w:rFonts w:ascii="Calibri" w:eastAsia="Times New Roman" w:hAnsi="Calibri" w:cs="Times New Roman"/>
          <w:szCs w:val="24"/>
        </w:rPr>
        <w:t>In this first course, students will use concepts, procedures, and equipment common to a professional medical laboratory. Students conduct problem-based studies, apply scientific methodology and use descriptive statistics to communicate and support predictions and conclusions. Students will follow procedures and protocols for handling, transporting, storing, and preparing specimens. Further, students will sample, monitor, and record environmental conditions of the facilities. Emphasis is given to demonstrating professional and ethical behavior associated with the medical field.</w:t>
      </w:r>
    </w:p>
    <w:p w14:paraId="19F2629D" w14:textId="77777777" w:rsidR="0043584D" w:rsidRDefault="0043584D" w:rsidP="00EB4BE9">
      <w:pPr>
        <w:spacing w:after="0" w:line="240" w:lineRule="auto"/>
        <w:outlineLvl w:val="0"/>
        <w:rPr>
          <w:rFonts w:cstheme="minorHAnsi"/>
          <w:b/>
          <w:bCs/>
        </w:rPr>
      </w:pPr>
    </w:p>
    <w:p w14:paraId="02BDE7FF" w14:textId="77777777" w:rsidR="00EF1732" w:rsidRPr="00EF1732" w:rsidRDefault="00D05F0D" w:rsidP="00EF1732">
      <w:pPr>
        <w:spacing w:after="0" w:line="240" w:lineRule="auto"/>
        <w:ind w:left="1620" w:hanging="1620"/>
        <w:outlineLvl w:val="0"/>
        <w:rPr>
          <w:rFonts w:cstheme="minorHAnsi"/>
          <w:b/>
          <w:bCs/>
        </w:rPr>
      </w:pPr>
      <w:r w:rsidRPr="005E7DD6">
        <w:rPr>
          <w:rFonts w:cstheme="minorHAnsi"/>
          <w:b/>
          <w:bCs/>
        </w:rPr>
        <w:t xml:space="preserve">Strand </w:t>
      </w:r>
      <w:r w:rsidR="00EF1732" w:rsidRPr="00EF1732">
        <w:rPr>
          <w:rFonts w:cstheme="minorHAnsi"/>
          <w:b/>
          <w:bCs/>
        </w:rPr>
        <w:t xml:space="preserve">5. </w:t>
      </w:r>
      <w:r w:rsidR="00EF1732">
        <w:rPr>
          <w:rFonts w:cstheme="minorHAnsi"/>
          <w:b/>
          <w:bCs/>
        </w:rPr>
        <w:tab/>
      </w:r>
      <w:r w:rsidR="00EF1732" w:rsidRPr="00EF1732">
        <w:rPr>
          <w:rFonts w:cstheme="minorHAnsi"/>
          <w:b/>
          <w:bCs/>
        </w:rPr>
        <w:t>Bioscience Research and Development</w:t>
      </w:r>
    </w:p>
    <w:p w14:paraId="4A79D5A3" w14:textId="77777777" w:rsidR="00D05F0D" w:rsidRPr="00EF1732" w:rsidRDefault="00EF1732" w:rsidP="00EF1732">
      <w:pPr>
        <w:spacing w:after="0" w:line="240" w:lineRule="auto"/>
        <w:ind w:left="1620"/>
        <w:outlineLvl w:val="0"/>
        <w:rPr>
          <w:rFonts w:cstheme="minorHAnsi"/>
          <w:bCs/>
        </w:rPr>
      </w:pPr>
      <w:r w:rsidRPr="00EF1732">
        <w:rPr>
          <w:rFonts w:cstheme="minorHAnsi"/>
          <w:bCs/>
        </w:rPr>
        <w:t>Learners will demonstrate the skills and knowledge of interpreting laboratory requests, using protective clothing and hazardous material containment, specimen collection procedures, a variety of laboratory testing and techniques and maintenance of laboratory equipment and supplies.</w:t>
      </w:r>
    </w:p>
    <w:p w14:paraId="3F05AA4E" w14:textId="77777777" w:rsidR="00EF1732" w:rsidRPr="00EF1732" w:rsidRDefault="00EF1732" w:rsidP="00EF1732">
      <w:pPr>
        <w:spacing w:after="0" w:line="240" w:lineRule="auto"/>
        <w:ind w:left="1620"/>
        <w:outlineLvl w:val="0"/>
        <w:rPr>
          <w:rFonts w:cstheme="minorHAnsi"/>
          <w:b/>
          <w:bCs/>
        </w:rPr>
      </w:pPr>
    </w:p>
    <w:p w14:paraId="576345E1" w14:textId="77777777" w:rsidR="00D54E69" w:rsidRPr="00D54E69" w:rsidRDefault="00D05F0D" w:rsidP="00D54E69">
      <w:pPr>
        <w:spacing w:after="0" w:line="240" w:lineRule="auto"/>
        <w:ind w:left="1620" w:hanging="1620"/>
        <w:rPr>
          <w:b/>
          <w:bCs/>
        </w:rPr>
      </w:pPr>
      <w:r w:rsidRPr="00E86CBC">
        <w:rPr>
          <w:b/>
        </w:rPr>
        <w:t>Outcome</w:t>
      </w:r>
      <w:r>
        <w:rPr>
          <w:b/>
        </w:rPr>
        <w:t xml:space="preserve">: </w:t>
      </w:r>
      <w:r w:rsidRPr="00E86CBC">
        <w:rPr>
          <w:b/>
        </w:rPr>
        <w:t xml:space="preserve"> </w:t>
      </w:r>
      <w:r w:rsidR="00D54E69" w:rsidRPr="00D54E69">
        <w:rPr>
          <w:b/>
          <w:bCs/>
        </w:rPr>
        <w:t xml:space="preserve">5.1. </w:t>
      </w:r>
      <w:r w:rsidR="00D54E69">
        <w:rPr>
          <w:b/>
          <w:bCs/>
        </w:rPr>
        <w:tab/>
      </w:r>
      <w:r w:rsidR="00D54E69" w:rsidRPr="00D54E69">
        <w:rPr>
          <w:b/>
          <w:bCs/>
        </w:rPr>
        <w:t>Handling, Preparation, Storage and Disposal</w:t>
      </w:r>
    </w:p>
    <w:p w14:paraId="167CB6E3" w14:textId="77777777" w:rsidR="00D54E69" w:rsidRPr="00D54E69" w:rsidRDefault="00D54E69" w:rsidP="00D54E69">
      <w:pPr>
        <w:spacing w:after="0" w:line="240" w:lineRule="auto"/>
        <w:ind w:left="1620"/>
      </w:pPr>
      <w:r w:rsidRPr="00D54E69">
        <w:t>Follow standard operating protocols for handling, preparing, storing and disposing of specimens, supplies and equipment.</w:t>
      </w:r>
    </w:p>
    <w:p w14:paraId="4980D664" w14:textId="77777777" w:rsidR="00D54E69" w:rsidRDefault="00D54E69" w:rsidP="00D54E69">
      <w:pPr>
        <w:spacing w:after="0" w:line="240" w:lineRule="auto"/>
        <w:rPr>
          <w:b/>
        </w:rPr>
      </w:pPr>
    </w:p>
    <w:p w14:paraId="6EAD8F72" w14:textId="77777777" w:rsidR="00D05F0D" w:rsidRPr="00E86CBC" w:rsidRDefault="00D05F0D" w:rsidP="00D54E69">
      <w:pPr>
        <w:spacing w:after="0" w:line="240" w:lineRule="auto"/>
        <w:rPr>
          <w:b/>
        </w:rPr>
      </w:pPr>
      <w:r w:rsidRPr="00E86CBC">
        <w:rPr>
          <w:b/>
        </w:rPr>
        <w:t xml:space="preserve">Competencies </w:t>
      </w:r>
    </w:p>
    <w:p w14:paraId="1364EF72" w14:textId="77777777" w:rsidR="008236E0" w:rsidRPr="008236E0" w:rsidRDefault="008236E0" w:rsidP="008236E0">
      <w:pPr>
        <w:spacing w:after="0" w:line="240" w:lineRule="auto"/>
        <w:ind w:left="900" w:hanging="900"/>
      </w:pPr>
      <w:r w:rsidRPr="008236E0">
        <w:t xml:space="preserve">5.1.1. </w:t>
      </w:r>
      <w:r>
        <w:tab/>
      </w:r>
      <w:r w:rsidRPr="008236E0">
        <w:t>Use standard operating procedures for the safe use of instruments, equipment and gas</w:t>
      </w:r>
      <w:r>
        <w:t xml:space="preserve"> </w:t>
      </w:r>
      <w:r w:rsidRPr="008236E0">
        <w:t>cylinders.</w:t>
      </w:r>
    </w:p>
    <w:p w14:paraId="2242929A" w14:textId="67EEA6D0" w:rsidR="008236E0" w:rsidRPr="008236E0" w:rsidRDefault="008236E0" w:rsidP="008236E0">
      <w:pPr>
        <w:spacing w:after="0" w:line="240" w:lineRule="auto"/>
        <w:ind w:left="900" w:hanging="900"/>
      </w:pPr>
      <w:r w:rsidRPr="008236E0">
        <w:t xml:space="preserve">5.1.2. </w:t>
      </w:r>
      <w:r>
        <w:tab/>
      </w:r>
      <w:r w:rsidR="009E0BAA" w:rsidRPr="009E0BAA">
        <w:t>Locate and use safety data sheets to prepare and interpret labels for chemicals, supplies, and to identify hazards associated with handling and storing chemical materials.</w:t>
      </w:r>
    </w:p>
    <w:p w14:paraId="6EFEDB89" w14:textId="5EDE57B1" w:rsidR="008236E0" w:rsidRPr="008236E0" w:rsidRDefault="008236E0" w:rsidP="008236E0">
      <w:pPr>
        <w:spacing w:after="0" w:line="240" w:lineRule="auto"/>
        <w:ind w:left="900" w:hanging="900"/>
      </w:pPr>
      <w:r w:rsidRPr="008236E0">
        <w:t xml:space="preserve">5.1.3. </w:t>
      </w:r>
      <w:r>
        <w:tab/>
      </w:r>
      <w:r w:rsidR="009E0BAA" w:rsidRPr="009E0BAA">
        <w:t>Neutralize acids, bases, or caustic solutions for handling and disposal.</w:t>
      </w:r>
    </w:p>
    <w:p w14:paraId="4238FC73" w14:textId="4A6CEEDE" w:rsidR="008236E0" w:rsidRPr="008236E0" w:rsidRDefault="008236E0" w:rsidP="008236E0">
      <w:pPr>
        <w:spacing w:after="0" w:line="240" w:lineRule="auto"/>
        <w:ind w:left="900" w:hanging="900"/>
      </w:pPr>
      <w:r w:rsidRPr="008236E0">
        <w:t xml:space="preserve">5.1.4. </w:t>
      </w:r>
      <w:r>
        <w:tab/>
      </w:r>
      <w:r w:rsidR="009E0BAA" w:rsidRPr="009E0BAA">
        <w:t>Recognize clean room integrity using Standard Operating Procedures (SOPs).</w:t>
      </w:r>
    </w:p>
    <w:p w14:paraId="1F398DFD" w14:textId="0AB695B6" w:rsidR="008236E0" w:rsidRPr="008236E0" w:rsidRDefault="008236E0" w:rsidP="008236E0">
      <w:pPr>
        <w:spacing w:after="0" w:line="240" w:lineRule="auto"/>
        <w:ind w:left="900" w:hanging="900"/>
      </w:pPr>
      <w:r w:rsidRPr="008236E0">
        <w:t xml:space="preserve">5.1.5. </w:t>
      </w:r>
      <w:r>
        <w:tab/>
      </w:r>
      <w:r w:rsidR="009E0BAA" w:rsidRPr="009E0BAA">
        <w:t>Sample, monitor and record the environmental conditions of the facility (e.g. air quality, humidity, temperature, microbial contaminations).</w:t>
      </w:r>
    </w:p>
    <w:p w14:paraId="7E08DDF3" w14:textId="5BDF6911" w:rsidR="008236E0" w:rsidRPr="008236E0" w:rsidRDefault="008236E0" w:rsidP="008236E0">
      <w:pPr>
        <w:spacing w:after="0" w:line="240" w:lineRule="auto"/>
        <w:ind w:left="900" w:hanging="900"/>
      </w:pPr>
      <w:r w:rsidRPr="008236E0">
        <w:t xml:space="preserve">5.1.6. </w:t>
      </w:r>
      <w:r>
        <w:tab/>
      </w:r>
      <w:r w:rsidR="009E0BAA" w:rsidRPr="009E0BAA">
        <w:t>Adjust, calibrate, maintain and perform systems diagnostics on laboratory equipment per standard operating procedure (SOP) and equipment specifications.</w:t>
      </w:r>
    </w:p>
    <w:p w14:paraId="3537B893" w14:textId="17A576A9" w:rsidR="008236E0" w:rsidRPr="008236E0" w:rsidRDefault="008236E0" w:rsidP="008236E0">
      <w:pPr>
        <w:spacing w:after="0" w:line="240" w:lineRule="auto"/>
        <w:ind w:left="900" w:hanging="900"/>
      </w:pPr>
      <w:r w:rsidRPr="008236E0">
        <w:t xml:space="preserve">5.1.7. </w:t>
      </w:r>
      <w:r>
        <w:tab/>
      </w:r>
      <w:r w:rsidR="007339CE" w:rsidRPr="007339CE">
        <w:t>Maintain equipment logs and determine when to perform, implement, or schedule preventive maintenance and/or systems updates.</w:t>
      </w:r>
    </w:p>
    <w:p w14:paraId="35B0BEA3" w14:textId="6C1578A4" w:rsidR="008236E0" w:rsidRPr="008236E0" w:rsidRDefault="008236E0" w:rsidP="008236E0">
      <w:pPr>
        <w:spacing w:after="0" w:line="240" w:lineRule="auto"/>
        <w:ind w:left="900" w:hanging="900"/>
      </w:pPr>
      <w:r w:rsidRPr="008236E0">
        <w:t xml:space="preserve">5.1.8. </w:t>
      </w:r>
      <w:r>
        <w:tab/>
      </w:r>
      <w:r w:rsidR="007339CE" w:rsidRPr="007339CE">
        <w:t>Verify expiration dates and lot numbers.</w:t>
      </w:r>
    </w:p>
    <w:p w14:paraId="588E47E2" w14:textId="50BF8250" w:rsidR="008236E0" w:rsidRPr="008236E0" w:rsidRDefault="008236E0" w:rsidP="008236E0">
      <w:pPr>
        <w:spacing w:after="0" w:line="240" w:lineRule="auto"/>
        <w:ind w:left="900" w:hanging="900"/>
      </w:pPr>
      <w:r w:rsidRPr="008236E0">
        <w:t xml:space="preserve">5.1.9. </w:t>
      </w:r>
      <w:r>
        <w:tab/>
      </w:r>
      <w:r w:rsidR="009E0BAA" w:rsidRPr="009E0BAA">
        <w:t>Implement a chemical inventory system that includes all pertinent information regarding stability, hazards and sensitivity per standard operating procedure (SOP).</w:t>
      </w:r>
    </w:p>
    <w:p w14:paraId="65688CAE" w14:textId="122BA318" w:rsidR="008236E0" w:rsidRPr="008236E0" w:rsidRDefault="008236E0" w:rsidP="008236E0">
      <w:pPr>
        <w:spacing w:after="0" w:line="240" w:lineRule="auto"/>
        <w:ind w:left="900" w:hanging="900"/>
      </w:pPr>
      <w:r w:rsidRPr="008236E0">
        <w:t xml:space="preserve">5.1.10. </w:t>
      </w:r>
      <w:r>
        <w:tab/>
      </w:r>
      <w:r w:rsidR="009E0BAA" w:rsidRPr="009E0BAA">
        <w:t>Maintain an inventory system for manufactured products per standard operating procedure (SOP).</w:t>
      </w:r>
    </w:p>
    <w:p w14:paraId="76E9D868" w14:textId="7CC47FF0" w:rsidR="008236E0" w:rsidRPr="008236E0" w:rsidRDefault="008236E0" w:rsidP="008236E0">
      <w:pPr>
        <w:spacing w:after="0" w:line="240" w:lineRule="auto"/>
        <w:ind w:left="900" w:hanging="900"/>
      </w:pPr>
      <w:r w:rsidRPr="008236E0">
        <w:t xml:space="preserve">5.1.11. </w:t>
      </w:r>
      <w:r>
        <w:tab/>
      </w:r>
      <w:r w:rsidR="007339CE" w:rsidRPr="007339CE">
        <w:t>Maintain separate in‐processing, quarantine and release areas.</w:t>
      </w:r>
    </w:p>
    <w:p w14:paraId="04200EE3" w14:textId="179C7D84" w:rsidR="008236E0" w:rsidRPr="008236E0" w:rsidRDefault="008236E0" w:rsidP="008236E0">
      <w:pPr>
        <w:spacing w:after="0" w:line="240" w:lineRule="auto"/>
        <w:ind w:left="900" w:hanging="900"/>
      </w:pPr>
      <w:r w:rsidRPr="008236E0">
        <w:t xml:space="preserve">5.1.12. </w:t>
      </w:r>
      <w:r>
        <w:tab/>
      </w:r>
      <w:r w:rsidR="009E0BAA" w:rsidRPr="009E0BAA">
        <w:t>Monitor and maintain animal behavior, welfare and husbandry per standard operating procedure (SOP).</w:t>
      </w:r>
    </w:p>
    <w:p w14:paraId="43A66A4B" w14:textId="77777777" w:rsidR="008236E0" w:rsidRDefault="008236E0" w:rsidP="008236E0">
      <w:pPr>
        <w:spacing w:after="0" w:line="240" w:lineRule="auto"/>
      </w:pPr>
    </w:p>
    <w:p w14:paraId="62488DD8" w14:textId="77777777" w:rsidR="00D05F0D" w:rsidRPr="002D0F51" w:rsidRDefault="00D05F0D" w:rsidP="00D05F0D">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35"/>
        <w:gridCol w:w="356"/>
        <w:gridCol w:w="1280"/>
        <w:gridCol w:w="287"/>
        <w:gridCol w:w="1208"/>
        <w:gridCol w:w="236"/>
        <w:gridCol w:w="285"/>
        <w:gridCol w:w="782"/>
        <w:gridCol w:w="236"/>
        <w:gridCol w:w="1510"/>
        <w:gridCol w:w="236"/>
        <w:gridCol w:w="1510"/>
      </w:tblGrid>
      <w:tr w:rsidR="002602DF" w:rsidRPr="00FA5B8C" w14:paraId="3CB3CFF0" w14:textId="77777777" w:rsidTr="75A07F60">
        <w:tc>
          <w:tcPr>
            <w:tcW w:w="1448" w:type="dxa"/>
            <w:tcBorders>
              <w:bottom w:val="nil"/>
            </w:tcBorders>
            <w:shd w:val="clear" w:color="auto" w:fill="B8CCE4" w:themeFill="accent1" w:themeFillTint="66"/>
          </w:tcPr>
          <w:p w14:paraId="14768611" w14:textId="77777777" w:rsidR="00D05F0D" w:rsidRPr="00FA5B8C" w:rsidRDefault="002602DF" w:rsidP="007C6543">
            <w:pPr>
              <w:spacing w:after="0" w:line="240" w:lineRule="auto"/>
              <w:rPr>
                <w:b/>
                <w:color w:val="0D0D0D" w:themeColor="text1" w:themeTint="F2"/>
              </w:rPr>
            </w:pPr>
            <w:r w:rsidRPr="002602DF">
              <w:rPr>
                <w:b/>
                <w:color w:val="0D0D0D" w:themeColor="text1" w:themeTint="F2"/>
              </w:rPr>
              <w:t>Pathways</w:t>
            </w:r>
          </w:p>
        </w:tc>
        <w:tc>
          <w:tcPr>
            <w:tcW w:w="358" w:type="dxa"/>
            <w:tcBorders>
              <w:bottom w:val="dotted" w:sz="4" w:space="0" w:color="auto"/>
              <w:right w:val="dotted" w:sz="4" w:space="0" w:color="auto"/>
            </w:tcBorders>
          </w:tcPr>
          <w:p w14:paraId="2201F18D" w14:textId="77777777" w:rsidR="00D05F0D" w:rsidRPr="00FA5B8C" w:rsidRDefault="00D05F0D" w:rsidP="007C6543">
            <w:pPr>
              <w:spacing w:after="0" w:line="240" w:lineRule="auto"/>
              <w:jc w:val="center"/>
              <w:rPr>
                <w:color w:val="0D0D0D" w:themeColor="text1" w:themeTint="F2"/>
              </w:rPr>
            </w:pPr>
          </w:p>
        </w:tc>
        <w:tc>
          <w:tcPr>
            <w:tcW w:w="1290" w:type="dxa"/>
            <w:tcBorders>
              <w:left w:val="dotted" w:sz="4" w:space="0" w:color="auto"/>
              <w:bottom w:val="dotted" w:sz="4" w:space="0" w:color="auto"/>
            </w:tcBorders>
            <w:shd w:val="clear" w:color="auto" w:fill="B8CCE4" w:themeFill="accent1" w:themeFillTint="66"/>
          </w:tcPr>
          <w:p w14:paraId="3F9C6A9D" w14:textId="77777777" w:rsidR="00D05F0D" w:rsidRPr="00F61AD0" w:rsidRDefault="00D05F0D" w:rsidP="007C6543">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287" w:type="dxa"/>
            <w:tcBorders>
              <w:bottom w:val="dotted" w:sz="4" w:space="0" w:color="auto"/>
              <w:right w:val="dotted" w:sz="4" w:space="0" w:color="auto"/>
            </w:tcBorders>
          </w:tcPr>
          <w:p w14:paraId="6EB2F24F" w14:textId="77777777" w:rsidR="00D05F0D" w:rsidRPr="00F61AD0" w:rsidRDefault="00182F6E" w:rsidP="007C6543">
            <w:pPr>
              <w:spacing w:after="0" w:line="240" w:lineRule="auto"/>
              <w:jc w:val="center"/>
              <w:rPr>
                <w:color w:val="0D0D0D" w:themeColor="text1" w:themeTint="F2"/>
                <w:sz w:val="18"/>
                <w:szCs w:val="18"/>
              </w:rPr>
            </w:pPr>
            <w:r w:rsidRPr="005E7DD6">
              <w:rPr>
                <w:color w:val="0D0D0D" w:themeColor="text1" w:themeTint="F2"/>
              </w:rPr>
              <w:t>X</w:t>
            </w:r>
          </w:p>
        </w:tc>
        <w:tc>
          <w:tcPr>
            <w:tcW w:w="1217" w:type="dxa"/>
            <w:tcBorders>
              <w:left w:val="dotted" w:sz="4" w:space="0" w:color="auto"/>
              <w:bottom w:val="dotted" w:sz="4" w:space="0" w:color="auto"/>
            </w:tcBorders>
            <w:shd w:val="clear" w:color="auto" w:fill="B8CCE4" w:themeFill="accent1" w:themeFillTint="66"/>
          </w:tcPr>
          <w:p w14:paraId="6206A267" w14:textId="77777777" w:rsidR="00D05F0D" w:rsidRPr="00F61AD0" w:rsidRDefault="00D05F0D" w:rsidP="007C6543">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215" w:type="dxa"/>
            <w:tcBorders>
              <w:left w:val="dotted" w:sz="4" w:space="0" w:color="auto"/>
              <w:bottom w:val="dotted" w:sz="4" w:space="0" w:color="auto"/>
            </w:tcBorders>
            <w:shd w:val="clear" w:color="auto" w:fill="FFFFFF" w:themeFill="background1"/>
          </w:tcPr>
          <w:p w14:paraId="3391443A" w14:textId="77777777" w:rsidR="00D05F0D" w:rsidRPr="00F61AD0" w:rsidRDefault="00900086" w:rsidP="007C6543">
            <w:pPr>
              <w:spacing w:after="0" w:line="240" w:lineRule="auto"/>
              <w:rPr>
                <w:color w:val="0D0D0D" w:themeColor="text1" w:themeTint="F2"/>
                <w:sz w:val="18"/>
                <w:szCs w:val="18"/>
              </w:rPr>
            </w:pPr>
            <w:r>
              <w:rPr>
                <w:color w:val="0D0D0D" w:themeColor="text1" w:themeTint="F2"/>
                <w:sz w:val="18"/>
                <w:szCs w:val="18"/>
              </w:rPr>
              <w:t>X</w:t>
            </w:r>
          </w:p>
        </w:tc>
        <w:tc>
          <w:tcPr>
            <w:tcW w:w="1074" w:type="dxa"/>
            <w:gridSpan w:val="2"/>
            <w:tcBorders>
              <w:left w:val="dotted" w:sz="4" w:space="0" w:color="auto"/>
              <w:bottom w:val="dotted" w:sz="4" w:space="0" w:color="auto"/>
            </w:tcBorders>
            <w:shd w:val="clear" w:color="auto" w:fill="B8CCE4" w:themeFill="accent1" w:themeFillTint="66"/>
          </w:tcPr>
          <w:p w14:paraId="66F333BE" w14:textId="77777777" w:rsidR="00D05F0D" w:rsidRPr="00F61AD0" w:rsidRDefault="00D05F0D" w:rsidP="007C6543">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214" w:type="dxa"/>
            <w:tcBorders>
              <w:left w:val="dotted" w:sz="4" w:space="0" w:color="auto"/>
              <w:bottom w:val="dotted" w:sz="4" w:space="0" w:color="auto"/>
            </w:tcBorders>
            <w:shd w:val="clear" w:color="auto" w:fill="FFFFFF" w:themeFill="background1"/>
          </w:tcPr>
          <w:p w14:paraId="1B14F597" w14:textId="77777777" w:rsidR="00D05F0D" w:rsidRPr="00F61AD0" w:rsidRDefault="00D05F0D" w:rsidP="007C6543">
            <w:pPr>
              <w:spacing w:after="0" w:line="240" w:lineRule="auto"/>
              <w:rPr>
                <w:color w:val="0D0D0D" w:themeColor="text1" w:themeTint="F2"/>
                <w:sz w:val="18"/>
                <w:szCs w:val="18"/>
              </w:rPr>
            </w:pPr>
          </w:p>
        </w:tc>
        <w:tc>
          <w:tcPr>
            <w:tcW w:w="1522" w:type="dxa"/>
            <w:tcBorders>
              <w:left w:val="dotted" w:sz="4" w:space="0" w:color="auto"/>
              <w:bottom w:val="dotted" w:sz="4" w:space="0" w:color="auto"/>
            </w:tcBorders>
            <w:shd w:val="clear" w:color="auto" w:fill="B8CCE4" w:themeFill="accent1" w:themeFillTint="66"/>
          </w:tcPr>
          <w:p w14:paraId="0E1E551C" w14:textId="77777777" w:rsidR="00D05F0D" w:rsidRPr="00F61AD0" w:rsidRDefault="00D05F0D" w:rsidP="007C6543">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c>
          <w:tcPr>
            <w:tcW w:w="214" w:type="dxa"/>
            <w:tcBorders>
              <w:left w:val="dotted" w:sz="4" w:space="0" w:color="auto"/>
              <w:bottom w:val="dotted" w:sz="4" w:space="0" w:color="auto"/>
            </w:tcBorders>
          </w:tcPr>
          <w:p w14:paraId="6903D974" w14:textId="145357A6" w:rsidR="75A07F60" w:rsidRDefault="75A07F60" w:rsidP="75A07F60">
            <w:pPr>
              <w:spacing w:line="240" w:lineRule="auto"/>
              <w:rPr>
                <w:color w:val="0D0D0D" w:themeColor="text1" w:themeTint="F2"/>
                <w:sz w:val="18"/>
                <w:szCs w:val="18"/>
              </w:rPr>
            </w:pPr>
          </w:p>
        </w:tc>
        <w:tc>
          <w:tcPr>
            <w:tcW w:w="1522" w:type="dxa"/>
            <w:tcBorders>
              <w:left w:val="dotted" w:sz="4" w:space="0" w:color="auto"/>
              <w:bottom w:val="dotted" w:sz="4" w:space="0" w:color="auto"/>
            </w:tcBorders>
            <w:shd w:val="clear" w:color="auto" w:fill="B8CCE4" w:themeFill="accent1" w:themeFillTint="66"/>
          </w:tcPr>
          <w:p w14:paraId="6CED9B1A" w14:textId="533E0E48" w:rsidR="4E283129" w:rsidRDefault="4E283129" w:rsidP="75A07F60">
            <w:pPr>
              <w:spacing w:line="240" w:lineRule="auto"/>
              <w:rPr>
                <w:color w:val="0D0D0D" w:themeColor="text1" w:themeTint="F2"/>
                <w:sz w:val="18"/>
                <w:szCs w:val="18"/>
              </w:rPr>
            </w:pPr>
            <w:r w:rsidRPr="75A07F60">
              <w:rPr>
                <w:color w:val="0D0D0D" w:themeColor="text1" w:themeTint="F2"/>
                <w:sz w:val="18"/>
                <w:szCs w:val="18"/>
              </w:rPr>
              <w:t>Therapeutic Services</w:t>
            </w:r>
          </w:p>
        </w:tc>
      </w:tr>
      <w:tr w:rsidR="002602DF" w:rsidRPr="00FA5B8C" w14:paraId="1DF8E58A" w14:textId="77777777" w:rsidTr="75A07F60">
        <w:tc>
          <w:tcPr>
            <w:tcW w:w="1448" w:type="dxa"/>
            <w:shd w:val="clear" w:color="auto" w:fill="B8CCE4" w:themeFill="accent1" w:themeFillTint="66"/>
          </w:tcPr>
          <w:p w14:paraId="593D0FF0" w14:textId="77777777" w:rsidR="00D05F0D" w:rsidRPr="002602DF" w:rsidRDefault="00D05F0D" w:rsidP="007C6543">
            <w:pPr>
              <w:spacing w:after="0" w:line="240" w:lineRule="auto"/>
              <w:rPr>
                <w:b/>
                <w:color w:val="0D0D0D" w:themeColor="text1" w:themeTint="F2"/>
              </w:rPr>
            </w:pPr>
            <w:r w:rsidRPr="002602DF">
              <w:rPr>
                <w:b/>
                <w:color w:val="0D0D0D" w:themeColor="text1" w:themeTint="F2"/>
              </w:rPr>
              <w:lastRenderedPageBreak/>
              <w:t>Green Practices</w:t>
            </w:r>
          </w:p>
        </w:tc>
        <w:tc>
          <w:tcPr>
            <w:tcW w:w="358" w:type="dxa"/>
            <w:tcBorders>
              <w:right w:val="dotted" w:sz="4" w:space="0" w:color="auto"/>
            </w:tcBorders>
          </w:tcPr>
          <w:p w14:paraId="16995DA8" w14:textId="77777777" w:rsidR="00D05F0D" w:rsidRPr="00F61AD0" w:rsidRDefault="00D05F0D" w:rsidP="007C6543">
            <w:pPr>
              <w:spacing w:after="0" w:line="240" w:lineRule="auto"/>
              <w:jc w:val="center"/>
              <w:rPr>
                <w:color w:val="0D0D0D" w:themeColor="text1" w:themeTint="F2"/>
                <w:sz w:val="18"/>
                <w:szCs w:val="18"/>
              </w:rPr>
            </w:pPr>
          </w:p>
        </w:tc>
        <w:tc>
          <w:tcPr>
            <w:tcW w:w="1290" w:type="dxa"/>
            <w:tcBorders>
              <w:left w:val="dotted" w:sz="4" w:space="0" w:color="auto"/>
            </w:tcBorders>
            <w:shd w:val="clear" w:color="auto" w:fill="B8CCE4" w:themeFill="accent1" w:themeFillTint="66"/>
          </w:tcPr>
          <w:p w14:paraId="14AAA5FD" w14:textId="77777777" w:rsidR="00D05F0D" w:rsidRPr="00F61AD0" w:rsidRDefault="00D05F0D" w:rsidP="007C6543">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287" w:type="dxa"/>
            <w:tcBorders>
              <w:left w:val="dotted" w:sz="4" w:space="0" w:color="auto"/>
              <w:right w:val="dotted" w:sz="4" w:space="0" w:color="auto"/>
            </w:tcBorders>
          </w:tcPr>
          <w:p w14:paraId="71AE97F9" w14:textId="77777777" w:rsidR="00D05F0D" w:rsidRPr="00F61AD0" w:rsidRDefault="00D05F0D" w:rsidP="007C6543">
            <w:pPr>
              <w:spacing w:after="0" w:line="240" w:lineRule="auto"/>
              <w:rPr>
                <w:color w:val="0D0D0D" w:themeColor="text1" w:themeTint="F2"/>
                <w:sz w:val="18"/>
                <w:szCs w:val="18"/>
              </w:rPr>
            </w:pPr>
          </w:p>
        </w:tc>
        <w:tc>
          <w:tcPr>
            <w:tcW w:w="1432" w:type="dxa"/>
            <w:gridSpan w:val="2"/>
            <w:tcBorders>
              <w:left w:val="dotted" w:sz="4" w:space="0" w:color="auto"/>
            </w:tcBorders>
            <w:shd w:val="clear" w:color="auto" w:fill="B8CCE4" w:themeFill="accent1" w:themeFillTint="66"/>
          </w:tcPr>
          <w:p w14:paraId="52092D15" w14:textId="77777777" w:rsidR="00D05F0D" w:rsidRPr="00F61AD0" w:rsidRDefault="00D05F0D" w:rsidP="007C6543">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285" w:type="dxa"/>
            <w:tcBorders>
              <w:left w:val="dotted" w:sz="4" w:space="0" w:color="auto"/>
              <w:right w:val="dotted" w:sz="4" w:space="0" w:color="auto"/>
            </w:tcBorders>
          </w:tcPr>
          <w:p w14:paraId="451361C2" w14:textId="77777777" w:rsidR="00D05F0D" w:rsidRPr="00F61AD0" w:rsidRDefault="00900086" w:rsidP="007C6543">
            <w:pPr>
              <w:spacing w:after="0" w:line="240" w:lineRule="auto"/>
              <w:rPr>
                <w:color w:val="0D0D0D" w:themeColor="text1" w:themeTint="F2"/>
                <w:sz w:val="18"/>
                <w:szCs w:val="18"/>
              </w:rPr>
            </w:pPr>
            <w:r>
              <w:rPr>
                <w:color w:val="0D0D0D" w:themeColor="text1" w:themeTint="F2"/>
                <w:sz w:val="18"/>
                <w:szCs w:val="18"/>
              </w:rPr>
              <w:t>X</w:t>
            </w:r>
          </w:p>
        </w:tc>
        <w:tc>
          <w:tcPr>
            <w:tcW w:w="2525" w:type="dxa"/>
            <w:gridSpan w:val="3"/>
            <w:tcBorders>
              <w:left w:val="dotted" w:sz="4" w:space="0" w:color="auto"/>
            </w:tcBorders>
            <w:shd w:val="clear" w:color="auto" w:fill="B8CCE4" w:themeFill="accent1" w:themeFillTint="66"/>
          </w:tcPr>
          <w:p w14:paraId="139A353B" w14:textId="77777777" w:rsidR="00D05F0D" w:rsidRPr="00F61AD0" w:rsidRDefault="00D05F0D" w:rsidP="007C6543">
            <w:pPr>
              <w:spacing w:after="0" w:line="240" w:lineRule="auto"/>
              <w:rPr>
                <w:color w:val="0D0D0D" w:themeColor="text1" w:themeTint="F2"/>
                <w:sz w:val="18"/>
                <w:szCs w:val="18"/>
              </w:rPr>
            </w:pPr>
            <w:r w:rsidRPr="00F61AD0">
              <w:rPr>
                <w:color w:val="0D0D0D" w:themeColor="text1" w:themeTint="F2"/>
                <w:sz w:val="18"/>
                <w:szCs w:val="18"/>
              </w:rPr>
              <w:t>Does not apply</w:t>
            </w:r>
          </w:p>
        </w:tc>
        <w:tc>
          <w:tcPr>
            <w:tcW w:w="214" w:type="dxa"/>
            <w:tcBorders>
              <w:left w:val="dotted" w:sz="4" w:space="0" w:color="auto"/>
            </w:tcBorders>
            <w:shd w:val="clear" w:color="auto" w:fill="B8CCE4" w:themeFill="accent1" w:themeFillTint="66"/>
          </w:tcPr>
          <w:p w14:paraId="0FAAE1A4" w14:textId="716CD38C" w:rsidR="75A07F60" w:rsidRDefault="75A07F60" w:rsidP="75A07F60">
            <w:pPr>
              <w:spacing w:line="240" w:lineRule="auto"/>
              <w:rPr>
                <w:color w:val="0D0D0D" w:themeColor="text1" w:themeTint="F2"/>
                <w:sz w:val="18"/>
                <w:szCs w:val="18"/>
              </w:rPr>
            </w:pPr>
          </w:p>
        </w:tc>
        <w:tc>
          <w:tcPr>
            <w:tcW w:w="1522" w:type="dxa"/>
            <w:tcBorders>
              <w:left w:val="dotted" w:sz="4" w:space="0" w:color="auto"/>
            </w:tcBorders>
            <w:shd w:val="clear" w:color="auto" w:fill="B8CCE4" w:themeFill="accent1" w:themeFillTint="66"/>
          </w:tcPr>
          <w:p w14:paraId="5099DC5F" w14:textId="66E580BB" w:rsidR="75A07F60" w:rsidRDefault="75A07F60" w:rsidP="75A07F60">
            <w:pPr>
              <w:spacing w:line="240" w:lineRule="auto"/>
              <w:rPr>
                <w:color w:val="0D0D0D" w:themeColor="text1" w:themeTint="F2"/>
                <w:sz w:val="18"/>
                <w:szCs w:val="18"/>
              </w:rPr>
            </w:pPr>
          </w:p>
        </w:tc>
      </w:tr>
    </w:tbl>
    <w:p w14:paraId="708A8F16" w14:textId="77777777" w:rsidR="0043584D" w:rsidRDefault="0043584D" w:rsidP="00350099">
      <w:pPr>
        <w:spacing w:after="0" w:line="240" w:lineRule="auto"/>
        <w:ind w:left="1620" w:hanging="1620"/>
        <w:rPr>
          <w:b/>
        </w:rPr>
      </w:pPr>
    </w:p>
    <w:p w14:paraId="0EA0226D" w14:textId="77777777" w:rsidR="008236E0" w:rsidRDefault="008236E0" w:rsidP="00350099">
      <w:pPr>
        <w:spacing w:after="0" w:line="240" w:lineRule="auto"/>
        <w:ind w:left="1620" w:hanging="1620"/>
        <w:rPr>
          <w:b/>
        </w:rPr>
      </w:pPr>
    </w:p>
    <w:p w14:paraId="30556493" w14:textId="77777777" w:rsidR="002602DF" w:rsidRDefault="002602DF" w:rsidP="00350099">
      <w:pPr>
        <w:spacing w:after="0" w:line="240" w:lineRule="auto"/>
        <w:ind w:left="1620" w:hanging="1620"/>
        <w:rPr>
          <w:b/>
        </w:rPr>
      </w:pPr>
    </w:p>
    <w:p w14:paraId="57001EFD" w14:textId="77777777" w:rsidR="00404B21" w:rsidRDefault="00350099" w:rsidP="00404B21">
      <w:pPr>
        <w:spacing w:after="0" w:line="240" w:lineRule="auto"/>
        <w:ind w:left="1620" w:hanging="1620"/>
        <w:rPr>
          <w:b/>
          <w:bCs/>
        </w:rPr>
      </w:pPr>
      <w:r w:rsidRPr="00E86CBC">
        <w:rPr>
          <w:b/>
        </w:rPr>
        <w:t>Outcome</w:t>
      </w:r>
      <w:r>
        <w:rPr>
          <w:b/>
        </w:rPr>
        <w:t xml:space="preserve">: </w:t>
      </w:r>
      <w:r w:rsidRPr="00E86CBC">
        <w:rPr>
          <w:b/>
        </w:rPr>
        <w:t xml:space="preserve"> </w:t>
      </w:r>
      <w:r w:rsidR="00404B21" w:rsidRPr="00404B21">
        <w:rPr>
          <w:b/>
          <w:bCs/>
        </w:rPr>
        <w:t xml:space="preserve">5.8. </w:t>
      </w:r>
      <w:r w:rsidR="00404B21">
        <w:rPr>
          <w:b/>
          <w:bCs/>
        </w:rPr>
        <w:tab/>
      </w:r>
      <w:r w:rsidR="00404B21" w:rsidRPr="00404B21">
        <w:rPr>
          <w:b/>
          <w:bCs/>
        </w:rPr>
        <w:t>Biotechn</w:t>
      </w:r>
      <w:r w:rsidR="00404B21">
        <w:rPr>
          <w:b/>
          <w:bCs/>
        </w:rPr>
        <w:t>ology Research and Experiments</w:t>
      </w:r>
    </w:p>
    <w:p w14:paraId="3AB1A39B" w14:textId="77777777" w:rsidR="00350099" w:rsidRDefault="00404B21" w:rsidP="00404B21">
      <w:pPr>
        <w:spacing w:after="0" w:line="240" w:lineRule="auto"/>
        <w:ind w:left="1620"/>
        <w:rPr>
          <w:bCs/>
        </w:rPr>
      </w:pPr>
      <w:r w:rsidRPr="00404B21">
        <w:rPr>
          <w:bCs/>
        </w:rPr>
        <w:t>Conduct a problem-based study, applying scientific methodology and using descriptive statistics to communicate and support predictions and conclusions.</w:t>
      </w:r>
    </w:p>
    <w:p w14:paraId="4BDE4707" w14:textId="77777777" w:rsidR="00404B21" w:rsidRPr="00404B21" w:rsidRDefault="00404B21" w:rsidP="00404B21">
      <w:pPr>
        <w:spacing w:after="0" w:line="240" w:lineRule="auto"/>
        <w:ind w:left="1620"/>
        <w:rPr>
          <w:bCs/>
        </w:rPr>
      </w:pPr>
    </w:p>
    <w:p w14:paraId="2957A997" w14:textId="77777777" w:rsidR="00350099" w:rsidRPr="00E86CBC" w:rsidRDefault="00350099" w:rsidP="00350099">
      <w:pPr>
        <w:spacing w:after="0" w:line="240" w:lineRule="auto"/>
        <w:ind w:left="1620" w:hanging="1620"/>
        <w:rPr>
          <w:b/>
        </w:rPr>
      </w:pPr>
      <w:r w:rsidRPr="00E86CBC">
        <w:rPr>
          <w:b/>
        </w:rPr>
        <w:t xml:space="preserve">Competencies </w:t>
      </w:r>
    </w:p>
    <w:p w14:paraId="2311DBBA" w14:textId="77777777" w:rsidR="00404B21" w:rsidRDefault="00404B21" w:rsidP="00404B21">
      <w:pPr>
        <w:spacing w:after="0" w:line="240" w:lineRule="auto"/>
        <w:ind w:left="900" w:hanging="900"/>
      </w:pPr>
      <w:r w:rsidRPr="00404B21">
        <w:t xml:space="preserve">5.8.1. </w:t>
      </w:r>
      <w:r>
        <w:tab/>
        <w:t>Identify research problems and structure a statistical experiment, simulation, or study related</w:t>
      </w:r>
    </w:p>
    <w:p w14:paraId="7F272830" w14:textId="77777777" w:rsidR="00404B21" w:rsidRPr="00404B21" w:rsidRDefault="00404B21" w:rsidP="00404B21">
      <w:pPr>
        <w:spacing w:after="0" w:line="240" w:lineRule="auto"/>
        <w:ind w:left="180" w:firstLine="720"/>
      </w:pPr>
      <w:r>
        <w:t>to the problem.</w:t>
      </w:r>
    </w:p>
    <w:p w14:paraId="1C3DAD6E" w14:textId="77777777" w:rsidR="00404B21" w:rsidRPr="00404B21" w:rsidRDefault="00404B21" w:rsidP="00404B21">
      <w:pPr>
        <w:spacing w:after="0" w:line="240" w:lineRule="auto"/>
        <w:ind w:left="900" w:hanging="900"/>
      </w:pPr>
      <w:r w:rsidRPr="00404B21">
        <w:t xml:space="preserve">5.8.2. </w:t>
      </w:r>
      <w:r>
        <w:tab/>
      </w:r>
      <w:r w:rsidRPr="00404B21">
        <w:t>Design a research plan, including the significance of the problem, purpose, variables,</w:t>
      </w:r>
    </w:p>
    <w:p w14:paraId="05330F56" w14:textId="77777777" w:rsidR="00404B21" w:rsidRPr="00404B21" w:rsidRDefault="00404B21" w:rsidP="00404B21">
      <w:pPr>
        <w:spacing w:after="0" w:line="240" w:lineRule="auto"/>
        <w:ind w:left="900"/>
      </w:pPr>
      <w:r w:rsidRPr="00404B21">
        <w:t>hypotheses, objectives, methods of study and a list of materials.</w:t>
      </w:r>
    </w:p>
    <w:p w14:paraId="12DFF677" w14:textId="77777777" w:rsidR="00404B21" w:rsidRDefault="00404B21" w:rsidP="00404B21">
      <w:pPr>
        <w:spacing w:after="0" w:line="240" w:lineRule="auto"/>
        <w:ind w:left="900" w:hanging="900"/>
      </w:pPr>
      <w:r w:rsidRPr="00404B21">
        <w:t xml:space="preserve">5.8.3. </w:t>
      </w:r>
      <w:r>
        <w:tab/>
      </w:r>
      <w:r w:rsidRPr="00404B21">
        <w:t>Distinguish between dependent, independent and control variables in an experiment.</w:t>
      </w:r>
    </w:p>
    <w:p w14:paraId="34FEEAC1" w14:textId="77777777" w:rsidR="00404B21" w:rsidRPr="00404B21" w:rsidRDefault="00404B21" w:rsidP="00404B21">
      <w:pPr>
        <w:spacing w:after="0" w:line="240" w:lineRule="auto"/>
        <w:ind w:left="900" w:hanging="900"/>
      </w:pPr>
      <w:r w:rsidRPr="00404B21">
        <w:t xml:space="preserve">5.8.4. </w:t>
      </w:r>
      <w:r>
        <w:tab/>
      </w:r>
      <w:r w:rsidRPr="00404B21">
        <w:t>Establish and implement procedures for systematic collection, organization and use of data.</w:t>
      </w:r>
    </w:p>
    <w:p w14:paraId="0F30A816" w14:textId="60756776" w:rsidR="00404B21" w:rsidRDefault="00404B21" w:rsidP="009E0BAA">
      <w:pPr>
        <w:spacing w:after="0" w:line="240" w:lineRule="auto"/>
        <w:ind w:left="900" w:hanging="900"/>
      </w:pPr>
      <w:r w:rsidRPr="00404B21">
        <w:t xml:space="preserve">5.8.7. </w:t>
      </w:r>
      <w:r>
        <w:tab/>
      </w:r>
      <w:r w:rsidR="009E0BAA" w:rsidRPr="009E0BAA">
        <w:t>Document results of the experiment in a laboratory notebook, adhering to professional protocol.</w:t>
      </w:r>
    </w:p>
    <w:p w14:paraId="58AD1015" w14:textId="77777777" w:rsidR="00404B21" w:rsidRPr="00404B21" w:rsidRDefault="00404B21" w:rsidP="00404B21">
      <w:pPr>
        <w:spacing w:after="0" w:line="240" w:lineRule="auto"/>
        <w:ind w:left="900" w:hanging="900"/>
      </w:pPr>
      <w:r w:rsidRPr="00404B21">
        <w:t xml:space="preserve">5.8.10. </w:t>
      </w:r>
      <w:r>
        <w:tab/>
      </w:r>
      <w:r w:rsidRPr="00404B21">
        <w:t>Create, interpret and use tabular and graphical displays and describe the data.</w:t>
      </w:r>
    </w:p>
    <w:p w14:paraId="285C9385" w14:textId="699841A5" w:rsidR="00404B21" w:rsidRPr="00404B21" w:rsidRDefault="00404B21" w:rsidP="009E0BAA">
      <w:pPr>
        <w:spacing w:after="0" w:line="240" w:lineRule="auto"/>
        <w:ind w:left="900" w:hanging="900"/>
      </w:pPr>
      <w:r w:rsidRPr="00404B21">
        <w:t xml:space="preserve">5.8.11. </w:t>
      </w:r>
      <w:r>
        <w:tab/>
      </w:r>
      <w:r w:rsidR="009E0BAA" w:rsidRPr="009E0BAA">
        <w:t>Draw conclusions and propose next steps based on observations and data analyses, recognizing that experimental results must be open to the scrutiny of others.</w:t>
      </w:r>
    </w:p>
    <w:p w14:paraId="02942845" w14:textId="77777777" w:rsidR="00350099" w:rsidRDefault="00404B21" w:rsidP="00404B21">
      <w:pPr>
        <w:spacing w:after="0" w:line="240" w:lineRule="auto"/>
        <w:ind w:left="900" w:hanging="900"/>
      </w:pPr>
      <w:r w:rsidRPr="00404B21">
        <w:t xml:space="preserve">5.8.12. </w:t>
      </w:r>
      <w:r>
        <w:tab/>
      </w:r>
      <w:r w:rsidRPr="00404B21">
        <w:t>Prepare and present findings using scientific reports.</w:t>
      </w:r>
    </w:p>
    <w:p w14:paraId="08D9861C" w14:textId="77777777" w:rsidR="00404B21" w:rsidRDefault="00404B21" w:rsidP="00404B21">
      <w:pPr>
        <w:spacing w:after="0" w:line="240" w:lineRule="auto"/>
      </w:pPr>
    </w:p>
    <w:p w14:paraId="1BFA85A4" w14:textId="77777777" w:rsidR="00350099" w:rsidRPr="002D0F51" w:rsidRDefault="00350099" w:rsidP="00350099">
      <w:pPr>
        <w:spacing w:after="0" w:line="240" w:lineRule="auto"/>
        <w:outlineLvl w:val="0"/>
        <w:rPr>
          <w:rFonts w:ascii="Calibri" w:eastAsia="Times New Roman" w:hAnsi="Calibri" w:cs="Calibri"/>
          <w:i/>
          <w:color w:val="0D0D0D" w:themeColor="text1" w:themeTint="F2"/>
        </w:rPr>
      </w:pPr>
      <w:r w:rsidRPr="75A07F60">
        <w:rPr>
          <w:rFonts w:ascii="Calibri" w:eastAsia="Times New Roman" w:hAnsi="Calibri" w:cs="Calibri"/>
          <w:i/>
          <w:iCs/>
          <w:color w:val="0D0D0D" w:themeColor="text1" w:themeTint="F2"/>
        </w:rPr>
        <w:t>An “X” indicates that the pathway applies to the outcome.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8"/>
        <w:gridCol w:w="346"/>
        <w:gridCol w:w="1282"/>
        <w:gridCol w:w="331"/>
        <w:gridCol w:w="1197"/>
        <w:gridCol w:w="310"/>
        <w:gridCol w:w="310"/>
        <w:gridCol w:w="761"/>
        <w:gridCol w:w="222"/>
        <w:gridCol w:w="1467"/>
        <w:gridCol w:w="222"/>
        <w:gridCol w:w="1484"/>
      </w:tblGrid>
      <w:tr w:rsidR="75A07F60" w14:paraId="1D2232C7" w14:textId="77777777" w:rsidTr="75A07F60">
        <w:tc>
          <w:tcPr>
            <w:tcW w:w="1448" w:type="dxa"/>
            <w:tcBorders>
              <w:bottom w:val="nil"/>
            </w:tcBorders>
            <w:shd w:val="clear" w:color="auto" w:fill="B8CCE4" w:themeFill="accent1" w:themeFillTint="66"/>
          </w:tcPr>
          <w:p w14:paraId="1364C6AF" w14:textId="77777777" w:rsidR="75A07F60" w:rsidRDefault="75A07F60" w:rsidP="75A07F60">
            <w:pPr>
              <w:spacing w:after="0" w:line="240" w:lineRule="auto"/>
              <w:rPr>
                <w:b/>
                <w:bCs/>
                <w:color w:val="0D0D0D" w:themeColor="text1" w:themeTint="F2"/>
              </w:rPr>
            </w:pPr>
            <w:r w:rsidRPr="75A07F60">
              <w:rPr>
                <w:b/>
                <w:bCs/>
                <w:color w:val="0D0D0D" w:themeColor="text1" w:themeTint="F2"/>
              </w:rPr>
              <w:t>Pathways</w:t>
            </w:r>
          </w:p>
        </w:tc>
        <w:tc>
          <w:tcPr>
            <w:tcW w:w="358" w:type="dxa"/>
            <w:tcBorders>
              <w:bottom w:val="dotted" w:sz="4" w:space="0" w:color="auto"/>
              <w:right w:val="dotted" w:sz="4" w:space="0" w:color="auto"/>
            </w:tcBorders>
          </w:tcPr>
          <w:p w14:paraId="13C5A4F1" w14:textId="77777777" w:rsidR="75A07F60" w:rsidRDefault="75A07F60" w:rsidP="75A07F60">
            <w:pPr>
              <w:spacing w:after="0" w:line="240" w:lineRule="auto"/>
              <w:jc w:val="center"/>
              <w:rPr>
                <w:color w:val="0D0D0D" w:themeColor="text1" w:themeTint="F2"/>
              </w:rPr>
            </w:pPr>
          </w:p>
        </w:tc>
        <w:tc>
          <w:tcPr>
            <w:tcW w:w="1290" w:type="dxa"/>
            <w:tcBorders>
              <w:left w:val="dotted" w:sz="4" w:space="0" w:color="auto"/>
              <w:bottom w:val="dotted" w:sz="4" w:space="0" w:color="auto"/>
            </w:tcBorders>
            <w:shd w:val="clear" w:color="auto" w:fill="B8CCE4" w:themeFill="accent1" w:themeFillTint="66"/>
          </w:tcPr>
          <w:p w14:paraId="6B574120" w14:textId="77777777" w:rsidR="75A07F60" w:rsidRDefault="75A07F60" w:rsidP="75A07F60">
            <w:pPr>
              <w:spacing w:after="0" w:line="240" w:lineRule="auto"/>
              <w:rPr>
                <w:color w:val="0D0D0D" w:themeColor="text1" w:themeTint="F2"/>
                <w:sz w:val="18"/>
                <w:szCs w:val="18"/>
              </w:rPr>
            </w:pPr>
            <w:r w:rsidRPr="75A07F60">
              <w:rPr>
                <w:color w:val="0D0D0D" w:themeColor="text1" w:themeTint="F2"/>
                <w:sz w:val="18"/>
                <w:szCs w:val="18"/>
              </w:rPr>
              <w:t>Health Information Management</w:t>
            </w:r>
          </w:p>
        </w:tc>
        <w:tc>
          <w:tcPr>
            <w:tcW w:w="287" w:type="dxa"/>
            <w:tcBorders>
              <w:bottom w:val="dotted" w:sz="4" w:space="0" w:color="auto"/>
              <w:right w:val="dotted" w:sz="4" w:space="0" w:color="auto"/>
            </w:tcBorders>
          </w:tcPr>
          <w:p w14:paraId="70A2BD20" w14:textId="77777777" w:rsidR="75A07F60" w:rsidRDefault="75A07F60" w:rsidP="75A07F60">
            <w:pPr>
              <w:spacing w:after="0" w:line="240" w:lineRule="auto"/>
              <w:jc w:val="center"/>
              <w:rPr>
                <w:color w:val="0D0D0D" w:themeColor="text1" w:themeTint="F2"/>
                <w:sz w:val="18"/>
                <w:szCs w:val="18"/>
              </w:rPr>
            </w:pPr>
            <w:r w:rsidRPr="75A07F60">
              <w:rPr>
                <w:color w:val="0D0D0D" w:themeColor="text1" w:themeTint="F2"/>
              </w:rPr>
              <w:t>X</w:t>
            </w:r>
          </w:p>
        </w:tc>
        <w:tc>
          <w:tcPr>
            <w:tcW w:w="1217" w:type="dxa"/>
            <w:tcBorders>
              <w:left w:val="dotted" w:sz="4" w:space="0" w:color="auto"/>
              <w:bottom w:val="dotted" w:sz="4" w:space="0" w:color="auto"/>
            </w:tcBorders>
            <w:shd w:val="clear" w:color="auto" w:fill="B8CCE4" w:themeFill="accent1" w:themeFillTint="66"/>
          </w:tcPr>
          <w:p w14:paraId="390B3B88" w14:textId="77777777" w:rsidR="75A07F60" w:rsidRDefault="75A07F60" w:rsidP="75A07F60">
            <w:pPr>
              <w:spacing w:after="0" w:line="240" w:lineRule="auto"/>
              <w:rPr>
                <w:color w:val="0D0D0D" w:themeColor="text1" w:themeTint="F2"/>
                <w:sz w:val="18"/>
                <w:szCs w:val="18"/>
              </w:rPr>
            </w:pPr>
            <w:r w:rsidRPr="75A07F60">
              <w:rPr>
                <w:color w:val="0D0D0D" w:themeColor="text1" w:themeTint="F2"/>
                <w:sz w:val="18"/>
                <w:szCs w:val="18"/>
              </w:rPr>
              <w:t>Medical Bioscience</w:t>
            </w:r>
          </w:p>
        </w:tc>
        <w:tc>
          <w:tcPr>
            <w:tcW w:w="215" w:type="dxa"/>
            <w:tcBorders>
              <w:left w:val="dotted" w:sz="4" w:space="0" w:color="auto"/>
              <w:bottom w:val="dotted" w:sz="4" w:space="0" w:color="auto"/>
            </w:tcBorders>
            <w:shd w:val="clear" w:color="auto" w:fill="FFFFFF" w:themeFill="background1"/>
          </w:tcPr>
          <w:p w14:paraId="63476BFB" w14:textId="77777777" w:rsidR="75A07F60" w:rsidRDefault="75A07F60" w:rsidP="75A07F60">
            <w:pPr>
              <w:spacing w:after="0" w:line="240" w:lineRule="auto"/>
              <w:rPr>
                <w:color w:val="0D0D0D" w:themeColor="text1" w:themeTint="F2"/>
                <w:sz w:val="18"/>
                <w:szCs w:val="18"/>
              </w:rPr>
            </w:pPr>
            <w:r w:rsidRPr="75A07F60">
              <w:rPr>
                <w:color w:val="0D0D0D" w:themeColor="text1" w:themeTint="F2"/>
                <w:sz w:val="18"/>
                <w:szCs w:val="18"/>
              </w:rPr>
              <w:t>X</w:t>
            </w:r>
          </w:p>
        </w:tc>
        <w:tc>
          <w:tcPr>
            <w:tcW w:w="1074" w:type="dxa"/>
            <w:gridSpan w:val="2"/>
            <w:tcBorders>
              <w:left w:val="dotted" w:sz="4" w:space="0" w:color="auto"/>
              <w:bottom w:val="dotted" w:sz="4" w:space="0" w:color="auto"/>
            </w:tcBorders>
            <w:shd w:val="clear" w:color="auto" w:fill="B8CCE4" w:themeFill="accent1" w:themeFillTint="66"/>
          </w:tcPr>
          <w:p w14:paraId="0ADF0A06" w14:textId="77777777" w:rsidR="75A07F60" w:rsidRDefault="75A07F60" w:rsidP="75A07F60">
            <w:pPr>
              <w:spacing w:after="0" w:line="240" w:lineRule="auto"/>
              <w:rPr>
                <w:color w:val="0D0D0D" w:themeColor="text1" w:themeTint="F2"/>
                <w:sz w:val="18"/>
                <w:szCs w:val="18"/>
              </w:rPr>
            </w:pPr>
            <w:r w:rsidRPr="75A07F60">
              <w:rPr>
                <w:color w:val="0D0D0D" w:themeColor="text1" w:themeTint="F2"/>
                <w:sz w:val="18"/>
                <w:szCs w:val="18"/>
              </w:rPr>
              <w:t>Allied Health and Nursing</w:t>
            </w:r>
          </w:p>
        </w:tc>
        <w:tc>
          <w:tcPr>
            <w:tcW w:w="214" w:type="dxa"/>
            <w:tcBorders>
              <w:left w:val="dotted" w:sz="4" w:space="0" w:color="auto"/>
              <w:bottom w:val="dotted" w:sz="4" w:space="0" w:color="auto"/>
            </w:tcBorders>
            <w:shd w:val="clear" w:color="auto" w:fill="FFFFFF" w:themeFill="background1"/>
          </w:tcPr>
          <w:p w14:paraId="56E72974" w14:textId="77777777" w:rsidR="75A07F60" w:rsidRDefault="75A07F60" w:rsidP="75A07F60">
            <w:pPr>
              <w:spacing w:after="0" w:line="240" w:lineRule="auto"/>
              <w:rPr>
                <w:color w:val="0D0D0D" w:themeColor="text1" w:themeTint="F2"/>
                <w:sz w:val="18"/>
                <w:szCs w:val="18"/>
              </w:rPr>
            </w:pPr>
          </w:p>
        </w:tc>
        <w:tc>
          <w:tcPr>
            <w:tcW w:w="1522" w:type="dxa"/>
            <w:tcBorders>
              <w:left w:val="dotted" w:sz="4" w:space="0" w:color="auto"/>
              <w:bottom w:val="dotted" w:sz="4" w:space="0" w:color="auto"/>
            </w:tcBorders>
            <w:shd w:val="clear" w:color="auto" w:fill="B8CCE4" w:themeFill="accent1" w:themeFillTint="66"/>
          </w:tcPr>
          <w:p w14:paraId="77D8878F" w14:textId="77777777" w:rsidR="75A07F60" w:rsidRDefault="75A07F60" w:rsidP="75A07F60">
            <w:pPr>
              <w:spacing w:after="0" w:line="240" w:lineRule="auto"/>
              <w:rPr>
                <w:color w:val="0D0D0D" w:themeColor="text1" w:themeTint="F2"/>
                <w:sz w:val="18"/>
                <w:szCs w:val="18"/>
              </w:rPr>
            </w:pPr>
            <w:r w:rsidRPr="75A07F60">
              <w:rPr>
                <w:color w:val="0D0D0D" w:themeColor="text1" w:themeTint="F2"/>
                <w:sz w:val="18"/>
                <w:szCs w:val="18"/>
              </w:rPr>
              <w:t>Exercise Science and Sports Medicine</w:t>
            </w:r>
          </w:p>
        </w:tc>
        <w:tc>
          <w:tcPr>
            <w:tcW w:w="214" w:type="dxa"/>
            <w:tcBorders>
              <w:left w:val="dotted" w:sz="4" w:space="0" w:color="auto"/>
              <w:bottom w:val="dotted" w:sz="4" w:space="0" w:color="auto"/>
            </w:tcBorders>
          </w:tcPr>
          <w:p w14:paraId="70CAF69D" w14:textId="145357A6" w:rsidR="75A07F60" w:rsidRDefault="75A07F60" w:rsidP="75A07F60">
            <w:pPr>
              <w:spacing w:line="240" w:lineRule="auto"/>
              <w:rPr>
                <w:color w:val="0D0D0D" w:themeColor="text1" w:themeTint="F2"/>
                <w:sz w:val="18"/>
                <w:szCs w:val="18"/>
              </w:rPr>
            </w:pPr>
          </w:p>
        </w:tc>
        <w:tc>
          <w:tcPr>
            <w:tcW w:w="1522" w:type="dxa"/>
            <w:tcBorders>
              <w:left w:val="dotted" w:sz="4" w:space="0" w:color="auto"/>
              <w:bottom w:val="dotted" w:sz="4" w:space="0" w:color="auto"/>
            </w:tcBorders>
            <w:shd w:val="clear" w:color="auto" w:fill="B8CCE4" w:themeFill="accent1" w:themeFillTint="66"/>
          </w:tcPr>
          <w:p w14:paraId="1DB7A27B" w14:textId="533E0E48" w:rsidR="75A07F60" w:rsidRDefault="75A07F60" w:rsidP="75A07F60">
            <w:pPr>
              <w:spacing w:line="240" w:lineRule="auto"/>
              <w:rPr>
                <w:color w:val="0D0D0D" w:themeColor="text1" w:themeTint="F2"/>
                <w:sz w:val="18"/>
                <w:szCs w:val="18"/>
              </w:rPr>
            </w:pPr>
            <w:r w:rsidRPr="75A07F60">
              <w:rPr>
                <w:color w:val="0D0D0D" w:themeColor="text1" w:themeTint="F2"/>
                <w:sz w:val="18"/>
                <w:szCs w:val="18"/>
              </w:rPr>
              <w:t>Therapeutic Services</w:t>
            </w:r>
          </w:p>
        </w:tc>
      </w:tr>
      <w:tr w:rsidR="75A07F60" w14:paraId="48FEFD8E" w14:textId="77777777" w:rsidTr="75A07F60">
        <w:tc>
          <w:tcPr>
            <w:tcW w:w="1448" w:type="dxa"/>
            <w:shd w:val="clear" w:color="auto" w:fill="B8CCE4" w:themeFill="accent1" w:themeFillTint="66"/>
          </w:tcPr>
          <w:p w14:paraId="484F00EB" w14:textId="77777777" w:rsidR="75A07F60" w:rsidRDefault="75A07F60" w:rsidP="75A07F60">
            <w:pPr>
              <w:spacing w:after="0" w:line="240" w:lineRule="auto"/>
              <w:rPr>
                <w:b/>
                <w:bCs/>
                <w:color w:val="0D0D0D" w:themeColor="text1" w:themeTint="F2"/>
              </w:rPr>
            </w:pPr>
            <w:r w:rsidRPr="75A07F60">
              <w:rPr>
                <w:b/>
                <w:bCs/>
                <w:color w:val="0D0D0D" w:themeColor="text1" w:themeTint="F2"/>
              </w:rPr>
              <w:t>Green Practices</w:t>
            </w:r>
          </w:p>
        </w:tc>
        <w:tc>
          <w:tcPr>
            <w:tcW w:w="358" w:type="dxa"/>
            <w:tcBorders>
              <w:right w:val="dotted" w:sz="4" w:space="0" w:color="auto"/>
            </w:tcBorders>
          </w:tcPr>
          <w:p w14:paraId="62F30B35" w14:textId="77777777" w:rsidR="75A07F60" w:rsidRDefault="75A07F60" w:rsidP="75A07F60">
            <w:pPr>
              <w:spacing w:after="0" w:line="240" w:lineRule="auto"/>
              <w:jc w:val="center"/>
              <w:rPr>
                <w:color w:val="0D0D0D" w:themeColor="text1" w:themeTint="F2"/>
                <w:sz w:val="18"/>
                <w:szCs w:val="18"/>
              </w:rPr>
            </w:pPr>
          </w:p>
        </w:tc>
        <w:tc>
          <w:tcPr>
            <w:tcW w:w="1290" w:type="dxa"/>
            <w:tcBorders>
              <w:left w:val="dotted" w:sz="4" w:space="0" w:color="auto"/>
            </w:tcBorders>
            <w:shd w:val="clear" w:color="auto" w:fill="B8CCE4" w:themeFill="accent1" w:themeFillTint="66"/>
          </w:tcPr>
          <w:p w14:paraId="6227769A" w14:textId="77777777" w:rsidR="75A07F60" w:rsidRDefault="75A07F60" w:rsidP="75A07F60">
            <w:pPr>
              <w:spacing w:after="0" w:line="240" w:lineRule="auto"/>
              <w:rPr>
                <w:color w:val="0D0D0D" w:themeColor="text1" w:themeTint="F2"/>
                <w:sz w:val="18"/>
                <w:szCs w:val="18"/>
              </w:rPr>
            </w:pPr>
            <w:r w:rsidRPr="75A07F60">
              <w:rPr>
                <w:color w:val="0D0D0D" w:themeColor="text1" w:themeTint="F2"/>
                <w:sz w:val="18"/>
                <w:szCs w:val="18"/>
              </w:rPr>
              <w:t>Green-specific</w:t>
            </w:r>
          </w:p>
        </w:tc>
        <w:tc>
          <w:tcPr>
            <w:tcW w:w="287" w:type="dxa"/>
            <w:tcBorders>
              <w:left w:val="dotted" w:sz="4" w:space="0" w:color="auto"/>
              <w:right w:val="dotted" w:sz="4" w:space="0" w:color="auto"/>
            </w:tcBorders>
          </w:tcPr>
          <w:p w14:paraId="3916112D" w14:textId="77777777" w:rsidR="75A07F60" w:rsidRDefault="75A07F60" w:rsidP="75A07F60">
            <w:pPr>
              <w:spacing w:after="0" w:line="240" w:lineRule="auto"/>
              <w:rPr>
                <w:color w:val="0D0D0D" w:themeColor="text1" w:themeTint="F2"/>
                <w:sz w:val="18"/>
                <w:szCs w:val="18"/>
              </w:rPr>
            </w:pPr>
          </w:p>
        </w:tc>
        <w:tc>
          <w:tcPr>
            <w:tcW w:w="1432" w:type="dxa"/>
            <w:gridSpan w:val="2"/>
            <w:tcBorders>
              <w:left w:val="dotted" w:sz="4" w:space="0" w:color="auto"/>
            </w:tcBorders>
            <w:shd w:val="clear" w:color="auto" w:fill="B8CCE4" w:themeFill="accent1" w:themeFillTint="66"/>
          </w:tcPr>
          <w:p w14:paraId="1BF228ED" w14:textId="77777777" w:rsidR="75A07F60" w:rsidRDefault="75A07F60" w:rsidP="75A07F60">
            <w:pPr>
              <w:spacing w:after="0" w:line="240" w:lineRule="auto"/>
              <w:rPr>
                <w:color w:val="0D0D0D" w:themeColor="text1" w:themeTint="F2"/>
                <w:sz w:val="18"/>
                <w:szCs w:val="18"/>
              </w:rPr>
            </w:pPr>
            <w:r w:rsidRPr="75A07F60">
              <w:rPr>
                <w:color w:val="0D0D0D" w:themeColor="text1" w:themeTint="F2"/>
                <w:sz w:val="18"/>
                <w:szCs w:val="18"/>
              </w:rPr>
              <w:t>Context-dependent</w:t>
            </w:r>
          </w:p>
        </w:tc>
        <w:tc>
          <w:tcPr>
            <w:tcW w:w="285" w:type="dxa"/>
            <w:tcBorders>
              <w:left w:val="dotted" w:sz="4" w:space="0" w:color="auto"/>
              <w:right w:val="dotted" w:sz="4" w:space="0" w:color="auto"/>
            </w:tcBorders>
          </w:tcPr>
          <w:p w14:paraId="1E4B28DD" w14:textId="77777777" w:rsidR="75A07F60" w:rsidRDefault="75A07F60" w:rsidP="75A07F60">
            <w:pPr>
              <w:spacing w:after="0" w:line="240" w:lineRule="auto"/>
              <w:rPr>
                <w:color w:val="0D0D0D" w:themeColor="text1" w:themeTint="F2"/>
                <w:sz w:val="18"/>
                <w:szCs w:val="18"/>
              </w:rPr>
            </w:pPr>
            <w:r w:rsidRPr="75A07F60">
              <w:rPr>
                <w:color w:val="0D0D0D" w:themeColor="text1" w:themeTint="F2"/>
                <w:sz w:val="18"/>
                <w:szCs w:val="18"/>
              </w:rPr>
              <w:t>X</w:t>
            </w:r>
          </w:p>
        </w:tc>
        <w:tc>
          <w:tcPr>
            <w:tcW w:w="2525" w:type="dxa"/>
            <w:gridSpan w:val="3"/>
            <w:tcBorders>
              <w:left w:val="dotted" w:sz="4" w:space="0" w:color="auto"/>
            </w:tcBorders>
            <w:shd w:val="clear" w:color="auto" w:fill="B8CCE4" w:themeFill="accent1" w:themeFillTint="66"/>
          </w:tcPr>
          <w:p w14:paraId="1D685A86" w14:textId="77777777" w:rsidR="75A07F60" w:rsidRDefault="75A07F60" w:rsidP="75A07F60">
            <w:pPr>
              <w:spacing w:after="0" w:line="240" w:lineRule="auto"/>
              <w:rPr>
                <w:color w:val="0D0D0D" w:themeColor="text1" w:themeTint="F2"/>
                <w:sz w:val="18"/>
                <w:szCs w:val="18"/>
              </w:rPr>
            </w:pPr>
            <w:r w:rsidRPr="75A07F60">
              <w:rPr>
                <w:color w:val="0D0D0D" w:themeColor="text1" w:themeTint="F2"/>
                <w:sz w:val="18"/>
                <w:szCs w:val="18"/>
              </w:rPr>
              <w:t>Does not apply</w:t>
            </w:r>
          </w:p>
        </w:tc>
        <w:tc>
          <w:tcPr>
            <w:tcW w:w="214" w:type="dxa"/>
            <w:tcBorders>
              <w:left w:val="dotted" w:sz="4" w:space="0" w:color="auto"/>
            </w:tcBorders>
            <w:shd w:val="clear" w:color="auto" w:fill="B8CCE4" w:themeFill="accent1" w:themeFillTint="66"/>
          </w:tcPr>
          <w:p w14:paraId="41B23F31" w14:textId="716CD38C" w:rsidR="75A07F60" w:rsidRDefault="75A07F60" w:rsidP="75A07F60">
            <w:pPr>
              <w:spacing w:line="240" w:lineRule="auto"/>
              <w:rPr>
                <w:color w:val="0D0D0D" w:themeColor="text1" w:themeTint="F2"/>
                <w:sz w:val="18"/>
                <w:szCs w:val="18"/>
              </w:rPr>
            </w:pPr>
          </w:p>
        </w:tc>
        <w:tc>
          <w:tcPr>
            <w:tcW w:w="1522" w:type="dxa"/>
            <w:tcBorders>
              <w:left w:val="dotted" w:sz="4" w:space="0" w:color="auto"/>
            </w:tcBorders>
            <w:shd w:val="clear" w:color="auto" w:fill="B8CCE4" w:themeFill="accent1" w:themeFillTint="66"/>
          </w:tcPr>
          <w:p w14:paraId="50936196" w14:textId="66E580BB" w:rsidR="75A07F60" w:rsidRDefault="75A07F60" w:rsidP="75A07F60">
            <w:pPr>
              <w:spacing w:line="240" w:lineRule="auto"/>
              <w:rPr>
                <w:color w:val="0D0D0D" w:themeColor="text1" w:themeTint="F2"/>
                <w:sz w:val="18"/>
                <w:szCs w:val="18"/>
              </w:rPr>
            </w:pPr>
          </w:p>
        </w:tc>
      </w:tr>
    </w:tbl>
    <w:p w14:paraId="696E429A" w14:textId="717270ED" w:rsidR="007C6543" w:rsidRDefault="007C6543" w:rsidP="75A07F60">
      <w:pPr>
        <w:spacing w:after="0" w:line="240" w:lineRule="auto"/>
      </w:pPr>
    </w:p>
    <w:sectPr w:rsidR="007C6543">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43785C" w14:textId="77777777" w:rsidR="00177F2C" w:rsidRDefault="00177F2C" w:rsidP="000D4BDC">
      <w:pPr>
        <w:spacing w:after="0" w:line="240" w:lineRule="auto"/>
      </w:pPr>
      <w:r>
        <w:separator/>
      </w:r>
    </w:p>
  </w:endnote>
  <w:endnote w:type="continuationSeparator" w:id="0">
    <w:p w14:paraId="0FE03B7F" w14:textId="77777777" w:rsidR="00177F2C" w:rsidRDefault="00177F2C" w:rsidP="000D4BDC">
      <w:pPr>
        <w:spacing w:after="0" w:line="240" w:lineRule="auto"/>
      </w:pPr>
      <w:r>
        <w:continuationSeparator/>
      </w:r>
    </w:p>
  </w:endnote>
  <w:endnote w:type="continuationNotice" w:id="1">
    <w:p w14:paraId="6D79676A" w14:textId="77777777" w:rsidR="00CA7791" w:rsidRDefault="00CA77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0AEC37" w14:textId="77777777" w:rsidR="00177F2C" w:rsidRDefault="00177F2C" w:rsidP="000D4BDC">
      <w:pPr>
        <w:spacing w:after="0" w:line="240" w:lineRule="auto"/>
      </w:pPr>
      <w:r>
        <w:separator/>
      </w:r>
    </w:p>
  </w:footnote>
  <w:footnote w:type="continuationSeparator" w:id="0">
    <w:p w14:paraId="4B0C939F" w14:textId="77777777" w:rsidR="00177F2C" w:rsidRDefault="00177F2C" w:rsidP="000D4BDC">
      <w:pPr>
        <w:spacing w:after="0" w:line="240" w:lineRule="auto"/>
      </w:pPr>
      <w:r>
        <w:continuationSeparator/>
      </w:r>
    </w:p>
  </w:footnote>
  <w:footnote w:type="continuationNotice" w:id="1">
    <w:p w14:paraId="70F37E48" w14:textId="77777777" w:rsidR="00CA7791" w:rsidRDefault="00CA77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82D29" w14:textId="1BB2B707" w:rsidR="000D4BDC" w:rsidRDefault="00442232"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3224461C" wp14:editId="6B48B4E7">
          <wp:simplePos x="0" y="0"/>
          <wp:positionH relativeFrom="column">
            <wp:posOffset>-790575</wp:posOffset>
          </wp:positionH>
          <wp:positionV relativeFrom="paragraph">
            <wp:posOffset>-476250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0D4BDC">
      <w:rPr>
        <w:rFonts w:ascii="Arial" w:eastAsia="Times New Roman" w:hAnsi="Arial" w:cs="Arial"/>
        <w:b/>
        <w:color w:val="000000"/>
        <w:sz w:val="28"/>
        <w:szCs w:val="21"/>
        <w:lang w:bidi="en-US"/>
      </w:rPr>
      <w:t>Health Science</w:t>
    </w:r>
    <w:r w:rsidR="000D4BDC" w:rsidRPr="00FA5B8C">
      <w:rPr>
        <w:rFonts w:ascii="Arial" w:eastAsia="Times New Roman" w:hAnsi="Arial" w:cs="Arial"/>
        <w:b/>
        <w:color w:val="000000"/>
        <w:sz w:val="28"/>
        <w:szCs w:val="21"/>
        <w:lang w:bidi="en-US"/>
      </w:rPr>
      <w:t xml:space="preserve"> Career Field</w:t>
    </w:r>
  </w:p>
  <w:p w14:paraId="1E697D33" w14:textId="77777777" w:rsidR="000D4BDC" w:rsidRDefault="000D4BDC"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A353A8" w:rsidRPr="00A353A8">
      <w:rPr>
        <w:rFonts w:ascii="Arial" w:eastAsia="Times New Roman" w:hAnsi="Arial" w:cs="Arial"/>
        <w:b/>
        <w:color w:val="000000"/>
        <w:sz w:val="28"/>
        <w:szCs w:val="21"/>
        <w:lang w:bidi="en-US"/>
      </w:rPr>
      <w:t>Principles and Practices of Biomedical Technology</w:t>
    </w:r>
  </w:p>
  <w:p w14:paraId="4FF4D861" w14:textId="77777777" w:rsidR="000D4BDC" w:rsidRDefault="000D4BDC"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072</w:t>
    </w:r>
    <w:r w:rsidR="00A353A8">
      <w:rPr>
        <w:rFonts w:ascii="Arial" w:eastAsia="Times New Roman" w:hAnsi="Arial" w:cs="Arial"/>
        <w:color w:val="000000"/>
        <w:sz w:val="28"/>
        <w:szCs w:val="21"/>
        <w:lang w:bidi="en-US"/>
      </w:rPr>
      <w:t>110</w:t>
    </w:r>
  </w:p>
  <w:p w14:paraId="7F1DECAF" w14:textId="77777777" w:rsidR="000D4BDC" w:rsidRPr="00FA5B8C" w:rsidRDefault="000D4BDC"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A0DE18C" w14:textId="77777777" w:rsidR="000D4BDC" w:rsidRDefault="000D4B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162195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BDC"/>
    <w:rsid w:val="00085205"/>
    <w:rsid w:val="000D4BDC"/>
    <w:rsid w:val="00123B81"/>
    <w:rsid w:val="00174DD9"/>
    <w:rsid w:val="00177F2C"/>
    <w:rsid w:val="00182F6E"/>
    <w:rsid w:val="00196D78"/>
    <w:rsid w:val="001A583A"/>
    <w:rsid w:val="0021797F"/>
    <w:rsid w:val="002602DF"/>
    <w:rsid w:val="00301E53"/>
    <w:rsid w:val="00333E37"/>
    <w:rsid w:val="00350099"/>
    <w:rsid w:val="00395E4A"/>
    <w:rsid w:val="003F0776"/>
    <w:rsid w:val="00402530"/>
    <w:rsid w:val="00404B21"/>
    <w:rsid w:val="00425CDA"/>
    <w:rsid w:val="0043584D"/>
    <w:rsid w:val="00442232"/>
    <w:rsid w:val="00482F16"/>
    <w:rsid w:val="00540EDD"/>
    <w:rsid w:val="005661AE"/>
    <w:rsid w:val="00692984"/>
    <w:rsid w:val="006A56E5"/>
    <w:rsid w:val="006D2395"/>
    <w:rsid w:val="007339CE"/>
    <w:rsid w:val="007C4567"/>
    <w:rsid w:val="007C6543"/>
    <w:rsid w:val="008236E0"/>
    <w:rsid w:val="00874B7A"/>
    <w:rsid w:val="00900086"/>
    <w:rsid w:val="009A7348"/>
    <w:rsid w:val="009E0BAA"/>
    <w:rsid w:val="00A353A8"/>
    <w:rsid w:val="00A66A8C"/>
    <w:rsid w:val="00AC5CF8"/>
    <w:rsid w:val="00B01D39"/>
    <w:rsid w:val="00B66999"/>
    <w:rsid w:val="00BB2A74"/>
    <w:rsid w:val="00C678AC"/>
    <w:rsid w:val="00CA7791"/>
    <w:rsid w:val="00D05F0D"/>
    <w:rsid w:val="00D51FD3"/>
    <w:rsid w:val="00D54E69"/>
    <w:rsid w:val="00D67D70"/>
    <w:rsid w:val="00DA0E45"/>
    <w:rsid w:val="00E86CBC"/>
    <w:rsid w:val="00EB4BE9"/>
    <w:rsid w:val="00EE45C2"/>
    <w:rsid w:val="00EF1732"/>
    <w:rsid w:val="00F233DD"/>
    <w:rsid w:val="00F70A1B"/>
    <w:rsid w:val="06DFB5CD"/>
    <w:rsid w:val="12663073"/>
    <w:rsid w:val="1E9CA60D"/>
    <w:rsid w:val="43BFA953"/>
    <w:rsid w:val="4E283129"/>
    <w:rsid w:val="5617B2AE"/>
    <w:rsid w:val="75A07F60"/>
    <w:rsid w:val="7B34F151"/>
    <w:rsid w:val="7CE924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851F4"/>
  <w15:docId w15:val="{1DF9AF00-A0CD-4E2D-8EC5-A0F780382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815405-2C45-48ED-B262-E8979888465A}">
  <ds:schemaRefs>
    <ds:schemaRef ds:uri="http://www.w3.org/XML/1998/namespace"/>
    <ds:schemaRef ds:uri="http://purl.org/dc/elements/1.1/"/>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ae4edc92-b061-4ddf-9542-b2adacb34364"/>
    <ds:schemaRef ds:uri="12c952f9-9f8d-49df-b50a-c556813f67ea"/>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F45AAE9E-C388-4708-B02B-AED96F5B96DE}">
  <ds:schemaRefs>
    <ds:schemaRef ds:uri="http://schemas.microsoft.com/sharepoint/v3/contenttype/forms"/>
  </ds:schemaRefs>
</ds:datastoreItem>
</file>

<file path=customXml/itemProps3.xml><?xml version="1.0" encoding="utf-8"?>
<ds:datastoreItem xmlns:ds="http://schemas.openxmlformats.org/officeDocument/2006/customXml" ds:itemID="{65249F46-2A6E-46DD-A4B9-85002EA8D8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3585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Principles and Practices of Biomedical Technology</dc:title>
  <dc:subject/>
  <dc:creator>OhioDepartmentofEducation5@ohiodas.onmicrosoft.com</dc:creator>
  <cp:keywords>Principles and Practices of Biomedical Technology</cp:keywords>
  <cp:lastModifiedBy>Brown, Woodrow</cp:lastModifiedBy>
  <cp:revision>9</cp:revision>
  <dcterms:created xsi:type="dcterms:W3CDTF">2020-03-10T19:37:00Z</dcterms:created>
  <dcterms:modified xsi:type="dcterms:W3CDTF">2024-10-23T11:31:00Z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