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23714A" w:rsidR="00546F2D" w:rsidP="00AD1133" w:rsidRDefault="00790728" w14:paraId="1AD741AD" w14:textId="0AC5F89D">
      <w:pPr>
        <w:spacing w:after="240" w:line="240" w:lineRule="auto"/>
        <w:jc w:val="center"/>
        <w:rPr>
          <w:rFonts w:ascii="Source Sans Pro" w:hAnsi="Source Sans Pro" w:eastAsia="Calibri" w:cs="Calibri"/>
          <w:b/>
          <w:bCs/>
          <w:color w:val="0E3F75"/>
          <w:sz w:val="48"/>
          <w:szCs w:val="48"/>
        </w:rPr>
      </w:pPr>
      <w:r w:rsidRPr="0023714A">
        <w:rPr>
          <w:rFonts w:ascii="Source Sans Pro" w:hAnsi="Source Sans Pro" w:eastAsia="Calibri" w:cs="Calibri"/>
          <w:b/>
          <w:bCs/>
          <w:color w:val="0E3F75"/>
          <w:sz w:val="48"/>
          <w:szCs w:val="48"/>
        </w:rPr>
        <w:t>6-12 Academic Language</w:t>
      </w:r>
      <w:r w:rsidRPr="0023714A" w:rsidR="003C4C0C">
        <w:rPr>
          <w:rFonts w:ascii="Source Sans Pro" w:hAnsi="Source Sans Pro" w:eastAsia="Calibri" w:cs="Calibri"/>
          <w:b/>
          <w:bCs/>
          <w:color w:val="0E3F75"/>
          <w:sz w:val="48"/>
          <w:szCs w:val="48"/>
        </w:rPr>
        <w:t xml:space="preserve"> </w:t>
      </w:r>
      <w:r w:rsidRPr="0023714A" w:rsidR="1DF678E4">
        <w:rPr>
          <w:rFonts w:ascii="Source Sans Pro" w:hAnsi="Source Sans Pro" w:eastAsia="Calibri" w:cs="Calibri"/>
          <w:b/>
          <w:bCs/>
          <w:color w:val="0E3F75"/>
          <w:sz w:val="48"/>
          <w:szCs w:val="48"/>
        </w:rPr>
        <w:t>Course Companion</w:t>
      </w:r>
    </w:p>
    <w:p w:rsidRPr="0023714A" w:rsidR="003C4C0C" w:rsidP="00AD1133" w:rsidRDefault="00FD59FF" w14:paraId="792C3CA3" w14:textId="148B6210">
      <w:pPr>
        <w:spacing w:after="240" w:line="240" w:lineRule="auto"/>
        <w:jc w:val="center"/>
        <w:rPr>
          <w:rFonts w:ascii="Source Sans Pro" w:hAnsi="Source Sans Pro" w:eastAsia="Calibri" w:cs="Calibri"/>
          <w:b/>
          <w:bCs/>
          <w:color w:val="0E3F75"/>
          <w:sz w:val="36"/>
          <w:szCs w:val="36"/>
        </w:rPr>
      </w:pPr>
      <w:r w:rsidRPr="0023714A">
        <w:rPr>
          <w:rFonts w:ascii="Source Sans Pro" w:hAnsi="Source Sans Pro" w:eastAsia="Calibri" w:cs="Calibri"/>
          <w:b/>
          <w:bCs/>
          <w:color w:val="0E3F75"/>
          <w:sz w:val="36"/>
          <w:szCs w:val="36"/>
        </w:rPr>
        <w:t>Literacy Academy on Demand</w:t>
      </w:r>
    </w:p>
    <w:p w:rsidRPr="0023714A" w:rsidR="00546F2D" w:rsidP="00AD1133" w:rsidRDefault="1DF678E4" w14:paraId="30DE890A" w14:textId="3FB632A9">
      <w:pPr>
        <w:spacing w:after="240" w:line="240" w:lineRule="auto"/>
        <w:rPr>
          <w:rFonts w:ascii="Source Sans Pro" w:hAnsi="Source Sans Pro" w:eastAsia="Calibri" w:cstheme="minorHAnsi"/>
          <w:color w:val="000000" w:themeColor="text1"/>
          <w:sz w:val="24"/>
          <w:szCs w:val="24"/>
        </w:rPr>
      </w:pPr>
      <w:r w:rsidRPr="0023714A">
        <w:rPr>
          <w:rFonts w:ascii="Source Sans Pro" w:hAnsi="Source Sans Pro" w:eastAsia="Calibri" w:cstheme="minorHAnsi"/>
          <w:color w:val="000000" w:themeColor="text1"/>
          <w:sz w:val="24"/>
          <w:szCs w:val="24"/>
        </w:rPr>
        <w:t>The Course Companion is designed to allow participants to capture notes, reflections and action steps as they work through a micro-course. Additionally, the Course Companion contains a list of all extra resources listed in the course. Each section of the Course Companion is linked to a corresponding section of the course.</w:t>
      </w:r>
    </w:p>
    <w:p w:rsidRPr="00357113" w:rsidR="00546F2D" w:rsidP="00AD1133" w:rsidRDefault="0023714A" w14:paraId="5D7C7C1E" w14:textId="12BD7C9A">
      <w:pPr>
        <w:spacing w:after="240" w:line="240" w:lineRule="auto"/>
        <w:rPr>
          <w:rStyle w:val="normaltextrun"/>
          <w:rFonts w:ascii="Source Sans Pro" w:hAnsi="Source Sans Pro" w:eastAsia="Calibri" w:cstheme="minorHAnsi"/>
          <w:b/>
          <w:bCs/>
          <w:sz w:val="28"/>
          <w:szCs w:val="28"/>
        </w:rPr>
      </w:pPr>
      <w:r w:rsidRPr="00357113">
        <w:rPr>
          <w:rStyle w:val="normaltextrun"/>
          <w:rFonts w:ascii="Source Sans Pro" w:hAnsi="Source Sans Pro" w:eastAsia="Calibri" w:cstheme="minorHAnsi"/>
          <w:b/>
          <w:bCs/>
          <w:sz w:val="28"/>
          <w:szCs w:val="28"/>
        </w:rPr>
        <w:t>CONSIDER THIS SCENARIO:</w:t>
      </w:r>
    </w:p>
    <w:p w:rsidRPr="0023714A" w:rsidR="00AD4D79" w:rsidP="00AD1133" w:rsidRDefault="00616562" w14:paraId="741F7AF2" w14:textId="28E635C7">
      <w:pPr>
        <w:spacing w:after="240" w:line="240" w:lineRule="auto"/>
        <w:rPr>
          <w:rFonts w:ascii="Source Sans Pro" w:hAnsi="Source Sans Pro" w:cstheme="minorHAnsi"/>
          <w:i/>
          <w:sz w:val="24"/>
          <w:szCs w:val="24"/>
        </w:rPr>
      </w:pPr>
      <w:r w:rsidRPr="0023714A">
        <w:rPr>
          <w:rFonts w:ascii="Source Sans Pro" w:hAnsi="Source Sans Pro" w:cstheme="minorHAnsi"/>
          <w:i/>
          <w:sz w:val="24"/>
          <w:szCs w:val="24"/>
        </w:rPr>
        <w:t>Eighth grade math teacher Mr. Ramirez noticed that students were struggling to discuss the concepts in his geometry unit because they did not have a firm hold on the terms and vocabulary for the lessons. Students also struggl</w:t>
      </w:r>
      <w:r w:rsidRPr="0023714A" w:rsidR="00DE620C">
        <w:rPr>
          <w:rFonts w:ascii="Source Sans Pro" w:hAnsi="Source Sans Pro" w:cstheme="minorHAnsi"/>
          <w:i/>
          <w:sz w:val="24"/>
          <w:szCs w:val="24"/>
        </w:rPr>
        <w:t>ed</w:t>
      </w:r>
      <w:r w:rsidRPr="0023714A">
        <w:rPr>
          <w:rFonts w:ascii="Source Sans Pro" w:hAnsi="Source Sans Pro" w:cstheme="minorHAnsi"/>
          <w:i/>
          <w:sz w:val="24"/>
          <w:szCs w:val="24"/>
        </w:rPr>
        <w:t xml:space="preserve"> to comprehend the story problems and tasks they were assigned. In conversations with other teachers on the 8</w:t>
      </w:r>
      <w:r w:rsidRPr="0023714A">
        <w:rPr>
          <w:rFonts w:ascii="Source Sans Pro" w:hAnsi="Source Sans Pro" w:cstheme="minorHAnsi"/>
          <w:i/>
          <w:sz w:val="24"/>
          <w:szCs w:val="24"/>
          <w:vertAlign w:val="superscript"/>
        </w:rPr>
        <w:t>th</w:t>
      </w:r>
      <w:r w:rsidRPr="0023714A">
        <w:rPr>
          <w:rFonts w:ascii="Source Sans Pro" w:hAnsi="Source Sans Pro" w:cstheme="minorHAnsi"/>
          <w:i/>
          <w:sz w:val="24"/>
          <w:szCs w:val="24"/>
        </w:rPr>
        <w:t xml:space="preserve"> grade team,</w:t>
      </w:r>
      <w:r w:rsidRPr="0023714A" w:rsidR="00C36C6C">
        <w:rPr>
          <w:rFonts w:ascii="Source Sans Pro" w:hAnsi="Source Sans Pro" w:cstheme="minorHAnsi"/>
          <w:i/>
          <w:sz w:val="24"/>
          <w:szCs w:val="24"/>
        </w:rPr>
        <w:t xml:space="preserve"> Mr. Ramirez</w:t>
      </w:r>
      <w:r w:rsidRPr="0023714A">
        <w:rPr>
          <w:rFonts w:ascii="Source Sans Pro" w:hAnsi="Source Sans Pro" w:cstheme="minorHAnsi"/>
          <w:i/>
          <w:sz w:val="24"/>
          <w:szCs w:val="24"/>
        </w:rPr>
        <w:t xml:space="preserve"> realized that this was not a</w:t>
      </w:r>
      <w:r w:rsidRPr="0023714A" w:rsidR="00C36C6C">
        <w:rPr>
          <w:rFonts w:ascii="Source Sans Pro" w:hAnsi="Source Sans Pro" w:cstheme="minorHAnsi"/>
          <w:i/>
          <w:sz w:val="24"/>
          <w:szCs w:val="24"/>
        </w:rPr>
        <w:t xml:space="preserve">n issue </w:t>
      </w:r>
      <w:r w:rsidRPr="0023714A">
        <w:rPr>
          <w:rFonts w:ascii="Source Sans Pro" w:hAnsi="Source Sans Pro" w:cstheme="minorHAnsi"/>
          <w:i/>
          <w:sz w:val="24"/>
          <w:szCs w:val="24"/>
        </w:rPr>
        <w:t>unique to math class. The students were having difficulty with understanding new discipline-specific concepts</w:t>
      </w:r>
      <w:r w:rsidRPr="0023714A" w:rsidR="00C36C6C">
        <w:rPr>
          <w:rFonts w:ascii="Source Sans Pro" w:hAnsi="Source Sans Pro" w:cstheme="minorHAnsi"/>
          <w:i/>
          <w:sz w:val="24"/>
          <w:szCs w:val="24"/>
        </w:rPr>
        <w:t>, words</w:t>
      </w:r>
      <w:r w:rsidRPr="0023714A">
        <w:rPr>
          <w:rFonts w:ascii="Source Sans Pro" w:hAnsi="Source Sans Pro" w:cstheme="minorHAnsi"/>
          <w:i/>
          <w:sz w:val="24"/>
          <w:szCs w:val="24"/>
        </w:rPr>
        <w:t xml:space="preserve"> and texts in all subject-area classes.</w:t>
      </w:r>
    </w:p>
    <w:p w:rsidRPr="0023714A" w:rsidR="00571D93" w:rsidP="00AD1133" w:rsidRDefault="00300CD7" w14:paraId="57C4636D" w14:textId="1B42A94C">
      <w:pPr>
        <w:spacing w:after="1320" w:line="240" w:lineRule="auto"/>
        <w:rPr>
          <w:rFonts w:ascii="Source Sans Pro" w:hAnsi="Source Sans Pro" w:eastAsia="Calibri" w:cstheme="minorHAnsi"/>
          <w:color w:val="000000" w:themeColor="text1"/>
          <w:sz w:val="24"/>
          <w:szCs w:val="24"/>
        </w:rPr>
      </w:pPr>
      <w:r w:rsidRPr="0023714A">
        <w:rPr>
          <w:rStyle w:val="normaltextrun"/>
          <w:rFonts w:ascii="Source Sans Pro" w:hAnsi="Source Sans Pro" w:eastAsia="Calibri" w:cstheme="minorHAnsi"/>
          <w:color w:val="000000" w:themeColor="text1"/>
          <w:sz w:val="24"/>
          <w:szCs w:val="24"/>
        </w:rPr>
        <w:t xml:space="preserve">Q: </w:t>
      </w:r>
      <w:r w:rsidRPr="0023714A" w:rsidR="1DF678E4">
        <w:rPr>
          <w:rStyle w:val="normaltextrun"/>
          <w:rFonts w:ascii="Source Sans Pro" w:hAnsi="Source Sans Pro" w:eastAsia="Calibri" w:cstheme="minorHAnsi"/>
          <w:color w:val="000000" w:themeColor="text1"/>
          <w:sz w:val="24"/>
          <w:szCs w:val="24"/>
        </w:rPr>
        <w:t>Can you relate to the above scenario? In what ways are your challenges in literacy instruction similar or differen</w:t>
      </w:r>
      <w:r w:rsidR="00CA7F31">
        <w:rPr>
          <w:rStyle w:val="normaltextrun"/>
          <w:rFonts w:ascii="Source Sans Pro" w:hAnsi="Source Sans Pro" w:eastAsia="Calibri" w:cstheme="minorHAnsi"/>
          <w:color w:val="000000" w:themeColor="text1"/>
          <w:sz w:val="24"/>
          <w:szCs w:val="24"/>
        </w:rPr>
        <w:t>t?</w:t>
      </w:r>
    </w:p>
    <w:p w:rsidRPr="00357113" w:rsidR="00CF2B5F" w:rsidP="00AD1133" w:rsidRDefault="00CF2B5F" w14:paraId="3F312E73" w14:textId="4EE47EC1">
      <w:pPr>
        <w:spacing w:after="240" w:line="240" w:lineRule="auto"/>
        <w:rPr>
          <w:rStyle w:val="eop"/>
          <w:rFonts w:ascii="Source Sans Pro" w:hAnsi="Source Sans Pro" w:eastAsia="Calibri" w:cstheme="minorHAnsi"/>
          <w:b/>
          <w:bCs/>
          <w:sz w:val="28"/>
          <w:szCs w:val="28"/>
        </w:rPr>
      </w:pPr>
      <w:r w:rsidRPr="00357113">
        <w:rPr>
          <w:rStyle w:val="eop"/>
          <w:rFonts w:ascii="Source Sans Pro" w:hAnsi="Source Sans Pro" w:eastAsia="Calibri" w:cstheme="minorHAnsi"/>
          <w:b/>
          <w:bCs/>
          <w:sz w:val="28"/>
          <w:szCs w:val="28"/>
        </w:rPr>
        <w:t>W</w:t>
      </w:r>
      <w:r w:rsidR="00357113">
        <w:rPr>
          <w:rStyle w:val="eop"/>
          <w:rFonts w:ascii="Source Sans Pro" w:hAnsi="Source Sans Pro" w:eastAsia="Calibri" w:cstheme="minorHAnsi"/>
          <w:b/>
          <w:bCs/>
          <w:sz w:val="28"/>
          <w:szCs w:val="28"/>
        </w:rPr>
        <w:t>HAT IS</w:t>
      </w:r>
      <w:r w:rsidRPr="00357113">
        <w:rPr>
          <w:rStyle w:val="eop"/>
          <w:rFonts w:ascii="Source Sans Pro" w:hAnsi="Source Sans Pro" w:eastAsia="Calibri" w:cstheme="minorHAnsi"/>
          <w:b/>
          <w:bCs/>
          <w:sz w:val="28"/>
          <w:szCs w:val="28"/>
        </w:rPr>
        <w:t xml:space="preserve"> A</w:t>
      </w:r>
      <w:r w:rsidR="00357113">
        <w:rPr>
          <w:rStyle w:val="eop"/>
          <w:rFonts w:ascii="Source Sans Pro" w:hAnsi="Source Sans Pro" w:eastAsia="Calibri" w:cstheme="minorHAnsi"/>
          <w:b/>
          <w:bCs/>
          <w:sz w:val="28"/>
          <w:szCs w:val="28"/>
        </w:rPr>
        <w:t>CADEMIC</w:t>
      </w:r>
      <w:r w:rsidRPr="00357113">
        <w:rPr>
          <w:rStyle w:val="eop"/>
          <w:rFonts w:ascii="Source Sans Pro" w:hAnsi="Source Sans Pro" w:eastAsia="Calibri" w:cstheme="minorHAnsi"/>
          <w:b/>
          <w:bCs/>
          <w:sz w:val="28"/>
          <w:szCs w:val="28"/>
        </w:rPr>
        <w:t xml:space="preserve"> L</w:t>
      </w:r>
      <w:r w:rsidR="00357113">
        <w:rPr>
          <w:rStyle w:val="eop"/>
          <w:rFonts w:ascii="Source Sans Pro" w:hAnsi="Source Sans Pro" w:eastAsia="Calibri" w:cstheme="minorHAnsi"/>
          <w:b/>
          <w:bCs/>
          <w:sz w:val="28"/>
          <w:szCs w:val="28"/>
        </w:rPr>
        <w:t>ANGUAGE</w:t>
      </w:r>
      <w:r w:rsidRPr="00357113">
        <w:rPr>
          <w:rStyle w:val="eop"/>
          <w:rFonts w:ascii="Source Sans Pro" w:hAnsi="Source Sans Pro" w:eastAsia="Calibri" w:cstheme="minorHAnsi"/>
          <w:b/>
          <w:bCs/>
          <w:sz w:val="28"/>
          <w:szCs w:val="28"/>
        </w:rPr>
        <w:t>?</w:t>
      </w:r>
    </w:p>
    <w:p w:rsidRPr="0023714A" w:rsidR="00EE0B16" w:rsidP="00AD1133" w:rsidRDefault="00EE0B16" w14:paraId="562E1FEA" w14:textId="52F46B32">
      <w:pPr>
        <w:spacing w:after="240" w:line="240" w:lineRule="auto"/>
        <w:rPr>
          <w:rStyle w:val="eop"/>
          <w:rFonts w:ascii="Source Sans Pro" w:hAnsi="Source Sans Pro" w:eastAsia="Calibri" w:cstheme="minorHAnsi"/>
          <w:sz w:val="24"/>
          <w:szCs w:val="24"/>
        </w:rPr>
      </w:pPr>
      <w:r w:rsidRPr="0023714A">
        <w:rPr>
          <w:rStyle w:val="eop"/>
          <w:rFonts w:ascii="Source Sans Pro" w:hAnsi="Source Sans Pro" w:eastAsia="Calibri" w:cstheme="minorHAnsi"/>
          <w:sz w:val="24"/>
          <w:szCs w:val="24"/>
        </w:rPr>
        <w:t>“Academic language is the specialize</w:t>
      </w:r>
      <w:r w:rsidRPr="0023714A" w:rsidR="00BE313B">
        <w:rPr>
          <w:rStyle w:val="eop"/>
          <w:rFonts w:ascii="Source Sans Pro" w:hAnsi="Source Sans Pro" w:eastAsia="Calibri" w:cstheme="minorHAnsi"/>
          <w:sz w:val="24"/>
          <w:szCs w:val="24"/>
        </w:rPr>
        <w:t>d</w:t>
      </w:r>
      <w:r w:rsidRPr="0023714A">
        <w:rPr>
          <w:rStyle w:val="eop"/>
          <w:rFonts w:ascii="Source Sans Pro" w:hAnsi="Source Sans Pro" w:eastAsia="Calibri" w:cstheme="minorHAnsi"/>
          <w:sz w:val="24"/>
          <w:szCs w:val="24"/>
        </w:rPr>
        <w:t xml:space="preserve"> language, both oral and written, or academic settings that </w:t>
      </w:r>
      <w:r w:rsidRPr="0023714A" w:rsidR="00357113">
        <w:rPr>
          <w:rStyle w:val="eop"/>
          <w:rFonts w:ascii="Source Sans Pro" w:hAnsi="Source Sans Pro" w:eastAsia="Calibri" w:cstheme="minorHAnsi"/>
          <w:sz w:val="24"/>
          <w:szCs w:val="24"/>
        </w:rPr>
        <w:t>facilitates</w:t>
      </w:r>
      <w:r w:rsidRPr="0023714A">
        <w:rPr>
          <w:rStyle w:val="eop"/>
          <w:rFonts w:ascii="Source Sans Pro" w:hAnsi="Source Sans Pro" w:eastAsia="Calibri" w:cstheme="minorHAnsi"/>
          <w:sz w:val="24"/>
          <w:szCs w:val="24"/>
        </w:rPr>
        <w:t xml:space="preserve"> communication and thinking about disciplinary content” (Nagy &amp; Townsend, 2012, p. 92).</w:t>
      </w:r>
    </w:p>
    <w:tbl>
      <w:tblPr>
        <w:tblW w:w="9000" w:type="dxa"/>
        <w:jc w:val="center"/>
        <w:tblCellSpacing w:w="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4850"/>
      </w:tblGrid>
      <w:tr w:rsidRPr="00357113" w:rsidR="00357113" w:rsidTr="00357113" w14:paraId="1F290757" w14:textId="77777777">
        <w:trPr>
          <w:tblCellSpacing w:w="7" w:type="dxa"/>
          <w:jc w:val="center"/>
        </w:trPr>
        <w:tc>
          <w:tcPr>
            <w:tcW w:w="41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E6E6" w:themeFill="background2"/>
            <w:vAlign w:val="center"/>
            <w:hideMark/>
          </w:tcPr>
          <w:p w:rsidRPr="00357113" w:rsidR="00D51C75" w:rsidP="00D51C75" w:rsidRDefault="00D51C75" w14:paraId="4DB1A787" w14:textId="77777777">
            <w:pPr>
              <w:spacing w:after="0" w:line="240" w:lineRule="auto"/>
              <w:jc w:val="center"/>
              <w:rPr>
                <w:rFonts w:ascii="Source Sans Pro" w:hAnsi="Source Sans Pro" w:eastAsia="Times New Roman" w:cstheme="minorHAnsi"/>
                <w:color w:val="0E3F75"/>
                <w:sz w:val="24"/>
                <w:szCs w:val="24"/>
              </w:rPr>
            </w:pPr>
            <w:r w:rsidRPr="00357113">
              <w:rPr>
                <w:rFonts w:ascii="Source Sans Pro" w:hAnsi="Source Sans Pro" w:eastAsia="Times New Roman" w:cstheme="minorHAnsi"/>
                <w:b/>
                <w:bCs/>
                <w:color w:val="0E3F75"/>
                <w:sz w:val="24"/>
                <w:szCs w:val="24"/>
              </w:rPr>
              <w:t>Informal Language</w:t>
            </w:r>
          </w:p>
        </w:tc>
        <w:tc>
          <w:tcPr>
            <w:tcW w:w="4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E6E6" w:themeFill="background2"/>
            <w:vAlign w:val="center"/>
            <w:hideMark/>
          </w:tcPr>
          <w:p w:rsidRPr="00357113" w:rsidR="00D51C75" w:rsidP="00D51C75" w:rsidRDefault="00D51C75" w14:paraId="3374B3F8" w14:textId="77777777">
            <w:pPr>
              <w:spacing w:after="0" w:line="240" w:lineRule="auto"/>
              <w:jc w:val="center"/>
              <w:rPr>
                <w:rFonts w:ascii="Source Sans Pro" w:hAnsi="Source Sans Pro" w:eastAsia="Times New Roman" w:cstheme="minorHAnsi"/>
                <w:color w:val="0E3F75"/>
                <w:sz w:val="24"/>
                <w:szCs w:val="24"/>
              </w:rPr>
            </w:pPr>
            <w:r w:rsidRPr="00357113">
              <w:rPr>
                <w:rFonts w:ascii="Source Sans Pro" w:hAnsi="Source Sans Pro" w:eastAsia="Times New Roman" w:cstheme="minorHAnsi"/>
                <w:b/>
                <w:bCs/>
                <w:color w:val="0E3F75"/>
                <w:sz w:val="24"/>
                <w:szCs w:val="24"/>
              </w:rPr>
              <w:t>Academic Language</w:t>
            </w:r>
          </w:p>
        </w:tc>
      </w:tr>
      <w:tr w:rsidRPr="0023714A" w:rsidR="00D51C75" w:rsidTr="00D51C75" w14:paraId="1B33208A" w14:textId="77777777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23714A" w:rsidR="00D51C75" w:rsidP="00D51C75" w:rsidRDefault="00D51C75" w14:paraId="040B4AB5" w14:textId="77777777">
            <w:pPr>
              <w:spacing w:after="0" w:line="240" w:lineRule="auto"/>
              <w:rPr>
                <w:rFonts w:ascii="Source Sans Pro" w:hAnsi="Source Sans Pro" w:eastAsia="Times New Roman" w:cstheme="minorHAnsi"/>
                <w:sz w:val="24"/>
                <w:szCs w:val="24"/>
              </w:rPr>
            </w:pPr>
            <w:r w:rsidRPr="0023714A">
              <w:rPr>
                <w:rFonts w:ascii="Source Sans Pro" w:hAnsi="Source Sans Pro" w:eastAsia="Times New Roman" w:cstheme="minorHAnsi"/>
                <w:sz w:val="24"/>
                <w:szCs w:val="24"/>
              </w:rPr>
              <w:t>Repetition of words</w:t>
            </w:r>
            <w:r w:rsidRPr="0023714A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23714A" w:rsidR="00D51C75" w:rsidP="00D51C75" w:rsidRDefault="00D51C75" w14:paraId="403DBAC6" w14:textId="7C3BB79F">
            <w:pPr>
              <w:spacing w:after="0" w:line="240" w:lineRule="auto"/>
              <w:rPr>
                <w:rFonts w:ascii="Source Sans Pro" w:hAnsi="Source Sans Pro" w:eastAsia="Times New Roman" w:cstheme="minorHAnsi"/>
                <w:sz w:val="24"/>
                <w:szCs w:val="24"/>
              </w:rPr>
            </w:pPr>
            <w:r w:rsidRPr="0023714A">
              <w:rPr>
                <w:rFonts w:ascii="Source Sans Pro" w:hAnsi="Source Sans Pro" w:eastAsia="Times New Roman" w:cstheme="minorHAnsi"/>
                <w:sz w:val="24"/>
                <w:szCs w:val="24"/>
              </w:rPr>
              <w:t>Variety of words, more sophisticated vocabulary</w:t>
            </w:r>
          </w:p>
        </w:tc>
      </w:tr>
      <w:tr w:rsidRPr="0023714A" w:rsidR="00D51C75" w:rsidTr="00D51C75" w14:paraId="1DFE422D" w14:textId="77777777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23714A" w:rsidR="00D51C75" w:rsidP="00D51C75" w:rsidRDefault="00D51C75" w14:paraId="1374031C" w14:textId="19BCA17C">
            <w:pPr>
              <w:spacing w:after="0" w:line="240" w:lineRule="auto"/>
              <w:rPr>
                <w:rFonts w:ascii="Source Sans Pro" w:hAnsi="Source Sans Pro" w:eastAsia="Times New Roman" w:cstheme="minorHAnsi"/>
                <w:sz w:val="24"/>
                <w:szCs w:val="24"/>
              </w:rPr>
            </w:pPr>
            <w:r w:rsidRPr="0023714A">
              <w:rPr>
                <w:rFonts w:ascii="Source Sans Pro" w:hAnsi="Source Sans Pro" w:eastAsia="Times New Roman" w:cstheme="minorHAnsi"/>
                <w:sz w:val="24"/>
                <w:szCs w:val="24"/>
              </w:rPr>
              <w:t>Sentences starting with “and” or “but”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23714A" w:rsidR="00D51C75" w:rsidP="00D51C75" w:rsidRDefault="00D51C75" w14:paraId="64A80CC1" w14:textId="77777777">
            <w:pPr>
              <w:spacing w:after="0" w:line="240" w:lineRule="auto"/>
              <w:rPr>
                <w:rFonts w:ascii="Source Sans Pro" w:hAnsi="Source Sans Pro" w:eastAsia="Times New Roman" w:cstheme="minorHAnsi"/>
                <w:sz w:val="24"/>
                <w:szCs w:val="24"/>
              </w:rPr>
            </w:pPr>
            <w:r w:rsidRPr="0023714A">
              <w:rPr>
                <w:rFonts w:ascii="Source Sans Pro" w:hAnsi="Source Sans Pro" w:eastAsia="Times New Roman" w:cstheme="minorHAnsi"/>
                <w:sz w:val="24"/>
                <w:szCs w:val="24"/>
              </w:rPr>
              <w:t>Sentences start with transition words</w:t>
            </w:r>
          </w:p>
        </w:tc>
      </w:tr>
      <w:tr w:rsidRPr="0023714A" w:rsidR="00D51C75" w:rsidTr="00D51C75" w14:paraId="6CF53C8E" w14:textId="77777777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23714A" w:rsidR="00D51C75" w:rsidP="00D51C75" w:rsidRDefault="00D51C75" w14:paraId="3E3D67B4" w14:textId="748BD781">
            <w:pPr>
              <w:spacing w:after="0" w:line="240" w:lineRule="auto"/>
              <w:rPr>
                <w:rFonts w:ascii="Source Sans Pro" w:hAnsi="Source Sans Pro" w:eastAsia="Times New Roman" w:cstheme="minorHAnsi"/>
                <w:sz w:val="24"/>
                <w:szCs w:val="24"/>
              </w:rPr>
            </w:pPr>
            <w:r w:rsidRPr="0023714A">
              <w:rPr>
                <w:rFonts w:ascii="Source Sans Pro" w:hAnsi="Source Sans Pro" w:eastAsia="Times New Roman" w:cstheme="minorHAnsi"/>
                <w:sz w:val="24"/>
                <w:szCs w:val="24"/>
              </w:rPr>
              <w:t>Use of slang such as “dude”, “whatever”, and “like”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23714A" w:rsidR="00D51C75" w:rsidP="00D51C75" w:rsidRDefault="00D51C75" w14:paraId="54C03670" w14:textId="1A003770">
            <w:pPr>
              <w:spacing w:after="0" w:line="240" w:lineRule="auto"/>
              <w:rPr>
                <w:rFonts w:ascii="Source Sans Pro" w:hAnsi="Source Sans Pro" w:eastAsia="Times New Roman" w:cstheme="minorHAnsi"/>
                <w:sz w:val="24"/>
                <w:szCs w:val="24"/>
              </w:rPr>
            </w:pPr>
            <w:r w:rsidRPr="0023714A">
              <w:rPr>
                <w:rFonts w:ascii="Source Sans Pro" w:hAnsi="Source Sans Pro" w:eastAsia="Times New Roman" w:cstheme="minorHAnsi"/>
                <w:sz w:val="24"/>
                <w:szCs w:val="24"/>
              </w:rPr>
              <w:t>Replaces slang with accurate descriptors</w:t>
            </w:r>
          </w:p>
        </w:tc>
      </w:tr>
      <w:tr w:rsidRPr="0023714A" w:rsidR="00D51C75" w:rsidTr="00D51C75" w14:paraId="65DC3B5C" w14:textId="77777777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23714A" w:rsidR="00D51C75" w:rsidP="00D51C75" w:rsidRDefault="00D51C75" w14:paraId="1720F392" w14:textId="33D75850">
            <w:pPr>
              <w:spacing w:after="0" w:line="240" w:lineRule="auto"/>
              <w:rPr>
                <w:rFonts w:ascii="Source Sans Pro" w:hAnsi="Source Sans Pro" w:eastAsia="Times New Roman" w:cstheme="minorHAnsi"/>
                <w:sz w:val="24"/>
                <w:szCs w:val="24"/>
              </w:rPr>
            </w:pPr>
            <w:r w:rsidRPr="0023714A">
              <w:rPr>
                <w:rFonts w:ascii="Source Sans Pro" w:hAnsi="Source Sans Pro" w:eastAsia="Times New Roman" w:cstheme="minorHAnsi"/>
                <w:sz w:val="24"/>
                <w:szCs w:val="24"/>
              </w:rPr>
              <w:t>Appropriate for use in casual, social settings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23714A" w:rsidR="00D51C75" w:rsidP="00D51C75" w:rsidRDefault="00D51C75" w14:paraId="662CF5BD" w14:textId="155B9417">
            <w:pPr>
              <w:spacing w:after="0" w:line="240" w:lineRule="auto"/>
              <w:rPr>
                <w:rFonts w:ascii="Source Sans Pro" w:hAnsi="Source Sans Pro" w:eastAsia="Times New Roman" w:cstheme="minorHAnsi"/>
                <w:sz w:val="24"/>
                <w:szCs w:val="24"/>
              </w:rPr>
            </w:pPr>
            <w:r w:rsidRPr="0023714A">
              <w:rPr>
                <w:rFonts w:ascii="Source Sans Pro" w:hAnsi="Source Sans Pro" w:eastAsia="Times New Roman" w:cstheme="minorHAnsi"/>
                <w:sz w:val="24"/>
                <w:szCs w:val="24"/>
              </w:rPr>
              <w:t>Appropriate for use in all academic and workplace settings</w:t>
            </w:r>
          </w:p>
        </w:tc>
      </w:tr>
      <w:tr w:rsidRPr="0023714A" w:rsidR="00D51C75" w:rsidTr="00D51C75" w14:paraId="39AC149D" w14:textId="77777777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23714A" w:rsidR="00D51C75" w:rsidP="00D51C75" w:rsidRDefault="00D51C75" w14:paraId="4CDE213F" w14:textId="6763D6FE">
            <w:pPr>
              <w:spacing w:after="0" w:line="240" w:lineRule="auto"/>
              <w:rPr>
                <w:rFonts w:ascii="Source Sans Pro" w:hAnsi="Source Sans Pro" w:eastAsia="Times New Roman" w:cstheme="minorHAnsi"/>
                <w:sz w:val="24"/>
                <w:szCs w:val="24"/>
              </w:rPr>
            </w:pPr>
            <w:r w:rsidRPr="0023714A">
              <w:rPr>
                <w:rFonts w:ascii="Source Sans Pro" w:hAnsi="Source Sans Pro" w:eastAsia="Times New Roman" w:cstheme="minorHAnsi"/>
                <w:sz w:val="24"/>
                <w:szCs w:val="24"/>
              </w:rPr>
              <w:t>Can vary greatly by ethnicity, region, gender and age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23714A" w:rsidR="00D51C75" w:rsidP="00D51C75" w:rsidRDefault="00D51C75" w14:paraId="00AE4C27" w14:textId="754CE602">
            <w:pPr>
              <w:spacing w:after="0" w:line="240" w:lineRule="auto"/>
              <w:rPr>
                <w:rFonts w:ascii="Source Sans Pro" w:hAnsi="Source Sans Pro" w:eastAsia="Times New Roman" w:cstheme="minorHAnsi"/>
                <w:sz w:val="24"/>
                <w:szCs w:val="24"/>
              </w:rPr>
            </w:pPr>
            <w:r w:rsidRPr="0023714A">
              <w:rPr>
                <w:rFonts w:ascii="Source Sans Pro" w:hAnsi="Source Sans Pro" w:eastAsia="Times New Roman" w:cstheme="minorHAnsi"/>
                <w:sz w:val="24"/>
                <w:szCs w:val="24"/>
              </w:rPr>
              <w:t>Common language register for all </w:t>
            </w:r>
          </w:p>
        </w:tc>
      </w:tr>
    </w:tbl>
    <w:p w:rsidRPr="00AD1133" w:rsidR="00546F2D" w:rsidP="00AD1133" w:rsidRDefault="00BC13AF" w14:paraId="407DF99A" w14:textId="4AEA8553">
      <w:pPr>
        <w:rPr>
          <w:rFonts w:ascii="Source Sans Pro" w:hAnsi="Source Sans Pro" w:eastAsia="Calibri" w:cstheme="minorHAnsi"/>
          <w:b/>
          <w:bCs/>
          <w:color w:val="4472C4" w:themeColor="accent1"/>
          <w:sz w:val="24"/>
          <w:szCs w:val="24"/>
        </w:rPr>
      </w:pPr>
      <w:r w:rsidRPr="00A66DB9">
        <w:rPr>
          <w:rStyle w:val="eop"/>
          <w:rFonts w:ascii="Source Sans Pro" w:hAnsi="Source Sans Pro" w:eastAsia="Calibri" w:cstheme="minorHAnsi"/>
          <w:b/>
          <w:bCs/>
          <w:sz w:val="28"/>
          <w:szCs w:val="28"/>
        </w:rPr>
        <w:lastRenderedPageBreak/>
        <w:t>D</w:t>
      </w:r>
      <w:r w:rsidR="00A66DB9">
        <w:rPr>
          <w:rStyle w:val="eop"/>
          <w:rFonts w:ascii="Source Sans Pro" w:hAnsi="Source Sans Pro" w:eastAsia="Calibri" w:cstheme="minorHAnsi"/>
          <w:b/>
          <w:bCs/>
          <w:sz w:val="28"/>
          <w:szCs w:val="28"/>
        </w:rPr>
        <w:t>R</w:t>
      </w:r>
      <w:r w:rsidRPr="00A66DB9">
        <w:rPr>
          <w:rStyle w:val="eop"/>
          <w:rFonts w:ascii="Source Sans Pro" w:hAnsi="Source Sans Pro" w:eastAsia="Calibri" w:cstheme="minorHAnsi"/>
          <w:b/>
          <w:bCs/>
          <w:sz w:val="28"/>
          <w:szCs w:val="28"/>
        </w:rPr>
        <w:t>. D</w:t>
      </w:r>
      <w:r w:rsidR="00A66DB9">
        <w:rPr>
          <w:rStyle w:val="eop"/>
          <w:rFonts w:ascii="Source Sans Pro" w:hAnsi="Source Sans Pro" w:eastAsia="Calibri" w:cstheme="minorHAnsi"/>
          <w:b/>
          <w:bCs/>
          <w:sz w:val="28"/>
          <w:szCs w:val="28"/>
        </w:rPr>
        <w:t>IANA</w:t>
      </w:r>
      <w:r w:rsidRPr="00A66DB9">
        <w:rPr>
          <w:rStyle w:val="eop"/>
          <w:rFonts w:ascii="Source Sans Pro" w:hAnsi="Source Sans Pro" w:eastAsia="Calibri" w:cstheme="minorHAnsi"/>
          <w:b/>
          <w:bCs/>
          <w:sz w:val="28"/>
          <w:szCs w:val="28"/>
        </w:rPr>
        <w:t xml:space="preserve"> T</w:t>
      </w:r>
      <w:r w:rsidR="00A66DB9">
        <w:rPr>
          <w:rStyle w:val="eop"/>
          <w:rFonts w:ascii="Source Sans Pro" w:hAnsi="Source Sans Pro" w:eastAsia="Calibri" w:cstheme="minorHAnsi"/>
          <w:b/>
          <w:bCs/>
          <w:sz w:val="28"/>
          <w:szCs w:val="28"/>
        </w:rPr>
        <w:t>OWNSEND</w:t>
      </w:r>
      <w:r w:rsidRPr="00A66DB9" w:rsidR="001A5BEC">
        <w:rPr>
          <w:rStyle w:val="eop"/>
          <w:rFonts w:ascii="Source Sans Pro" w:hAnsi="Source Sans Pro" w:eastAsia="Calibri" w:cstheme="minorHAnsi"/>
          <w:b/>
          <w:bCs/>
          <w:sz w:val="28"/>
          <w:szCs w:val="28"/>
        </w:rPr>
        <w:t xml:space="preserve"> V</w:t>
      </w:r>
      <w:r w:rsidR="00A66DB9">
        <w:rPr>
          <w:rStyle w:val="eop"/>
          <w:rFonts w:ascii="Source Sans Pro" w:hAnsi="Source Sans Pro" w:eastAsia="Calibri" w:cstheme="minorHAnsi"/>
          <w:b/>
          <w:bCs/>
          <w:sz w:val="28"/>
          <w:szCs w:val="28"/>
        </w:rPr>
        <w:t>IDEO</w:t>
      </w:r>
      <w:r w:rsidRPr="00A66DB9">
        <w:rPr>
          <w:rStyle w:val="eop"/>
          <w:rFonts w:ascii="Source Sans Pro" w:hAnsi="Source Sans Pro" w:eastAsia="Calibri" w:cstheme="minorHAnsi"/>
          <w:b/>
          <w:bCs/>
          <w:sz w:val="28"/>
          <w:szCs w:val="28"/>
        </w:rPr>
        <w:t xml:space="preserve">: </w:t>
      </w:r>
      <w:r w:rsidRPr="00A66DB9" w:rsidR="007726F2">
        <w:rPr>
          <w:rStyle w:val="eop"/>
          <w:rFonts w:ascii="Source Sans Pro" w:hAnsi="Source Sans Pro" w:eastAsia="Calibri" w:cstheme="minorHAnsi"/>
          <w:b/>
          <w:bCs/>
          <w:sz w:val="28"/>
          <w:szCs w:val="28"/>
        </w:rPr>
        <w:t>A</w:t>
      </w:r>
      <w:r w:rsidR="00A66DB9">
        <w:rPr>
          <w:rStyle w:val="eop"/>
          <w:rFonts w:ascii="Source Sans Pro" w:hAnsi="Source Sans Pro" w:eastAsia="Calibri" w:cstheme="minorHAnsi"/>
          <w:b/>
          <w:bCs/>
          <w:sz w:val="28"/>
          <w:szCs w:val="28"/>
        </w:rPr>
        <w:t>CADEMIC LANGUAGE</w:t>
      </w:r>
    </w:p>
    <w:p w:rsidRPr="00A66DB9" w:rsidR="00701FD9" w:rsidP="00AD1133" w:rsidRDefault="1DF678E4" w14:paraId="72B57394" w14:textId="2A40BACC">
      <w:pPr>
        <w:tabs>
          <w:tab w:val="left" w:pos="1540"/>
        </w:tabs>
        <w:spacing w:after="1680" w:line="240" w:lineRule="auto"/>
        <w:rPr>
          <w:rStyle w:val="eop"/>
          <w:rFonts w:ascii="Source Sans Pro" w:hAnsi="Source Sans Pro" w:eastAsia="Calibri" w:cstheme="minorHAnsi"/>
          <w:color w:val="000000" w:themeColor="text1"/>
          <w:sz w:val="24"/>
          <w:szCs w:val="24"/>
        </w:rPr>
      </w:pPr>
      <w:r w:rsidRPr="0023714A">
        <w:rPr>
          <w:rStyle w:val="eop"/>
          <w:rFonts w:ascii="Source Sans Pro" w:hAnsi="Source Sans Pro" w:eastAsia="Calibri" w:cstheme="minorHAnsi"/>
          <w:color w:val="000000" w:themeColor="text1"/>
          <w:sz w:val="24"/>
          <w:szCs w:val="24"/>
        </w:rPr>
        <w:t>Notes:</w:t>
      </w:r>
    </w:p>
    <w:p w:rsidRPr="00A66DB9" w:rsidR="00546F2D" w:rsidP="00AD1133" w:rsidRDefault="007726F2" w14:paraId="00BC449A" w14:textId="27FA98A8">
      <w:pPr>
        <w:spacing w:after="240" w:line="240" w:lineRule="auto"/>
        <w:rPr>
          <w:rFonts w:ascii="Source Sans Pro" w:hAnsi="Source Sans Pro" w:eastAsia="Calibri" w:cstheme="minorHAnsi"/>
          <w:sz w:val="28"/>
          <w:szCs w:val="28"/>
        </w:rPr>
      </w:pPr>
      <w:r w:rsidRPr="00A66DB9">
        <w:rPr>
          <w:rStyle w:val="eop"/>
          <w:rFonts w:ascii="Source Sans Pro" w:hAnsi="Source Sans Pro" w:eastAsia="Calibri" w:cstheme="minorHAnsi"/>
          <w:b/>
          <w:bCs/>
          <w:sz w:val="28"/>
          <w:szCs w:val="28"/>
        </w:rPr>
        <w:t>R</w:t>
      </w:r>
      <w:r w:rsidR="00A66DB9">
        <w:rPr>
          <w:rStyle w:val="eop"/>
          <w:rFonts w:ascii="Source Sans Pro" w:hAnsi="Source Sans Pro" w:eastAsia="Calibri" w:cstheme="minorHAnsi"/>
          <w:b/>
          <w:bCs/>
          <w:sz w:val="28"/>
          <w:szCs w:val="28"/>
        </w:rPr>
        <w:t>ESOURCES</w:t>
      </w:r>
      <w:r w:rsidRPr="00A66DB9">
        <w:rPr>
          <w:rStyle w:val="eop"/>
          <w:rFonts w:ascii="Source Sans Pro" w:hAnsi="Source Sans Pro" w:eastAsia="Calibri" w:cstheme="minorHAnsi"/>
          <w:b/>
          <w:bCs/>
          <w:sz w:val="28"/>
          <w:szCs w:val="28"/>
        </w:rPr>
        <w:t>:</w:t>
      </w:r>
    </w:p>
    <w:p w:rsidR="00A66DB9" w:rsidP="00AD1133" w:rsidRDefault="008E4866" w14:paraId="5EB4595F" w14:textId="77777777">
      <w:pPr>
        <w:spacing w:after="240" w:line="240" w:lineRule="auto"/>
        <w:rPr>
          <w:rFonts w:ascii="Source Sans Pro" w:hAnsi="Source Sans Pro"/>
          <w:sz w:val="24"/>
          <w:szCs w:val="24"/>
        </w:rPr>
      </w:pPr>
      <w:r w:rsidRPr="0023714A">
        <w:rPr>
          <w:rFonts w:ascii="Source Sans Pro" w:hAnsi="Source Sans Pro"/>
          <w:sz w:val="24"/>
          <w:szCs w:val="24"/>
        </w:rPr>
        <w:t xml:space="preserve">Review the Reading Rockets article by Flynt and Brozo, </w:t>
      </w:r>
      <w:hyperlink w:history="1" r:id="rId10">
        <w:r w:rsidRPr="0023714A">
          <w:rPr>
            <w:rStyle w:val="Hyperlink"/>
            <w:rFonts w:ascii="Source Sans Pro" w:hAnsi="Source Sans Pro"/>
            <w:sz w:val="24"/>
            <w:szCs w:val="24"/>
          </w:rPr>
          <w:t>Developing Academic Language: Got Words?</w:t>
        </w:r>
        <w:r w:rsidRPr="0023714A">
          <w:rPr>
            <w:rStyle w:val="Hyperlink"/>
            <w:rFonts w:ascii="Source Sans Pro" w:hAnsi="Source Sans Pro" w:eastAsia="Calibri" w:cstheme="minorHAnsi"/>
            <w:noProof/>
            <w:sz w:val="24"/>
            <w:szCs w:val="24"/>
          </w:rPr>
          <w:drawing>
            <wp:inline distT="0" distB="0" distL="0" distR="0" wp14:anchorId="2D7BDC21" wp14:editId="2A189900">
              <wp:extent cx="8255" cy="8255"/>
              <wp:effectExtent l="0" t="0" r="0" b="0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255" cy="8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3714A">
          <w:rPr>
            <w:rStyle w:val="Hyperlink"/>
            <w:rFonts w:ascii="Source Sans Pro" w:hAnsi="Source Sans Pro" w:eastAsia="Calibri" w:cstheme="minorHAnsi"/>
            <w:noProof/>
            <w:sz w:val="24"/>
            <w:szCs w:val="24"/>
          </w:rPr>
          <w:drawing>
            <wp:inline distT="0" distB="0" distL="0" distR="0" wp14:anchorId="03B8A6F9" wp14:editId="41E60335">
              <wp:extent cx="8255" cy="8255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255" cy="8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23714A">
        <w:rPr>
          <w:rFonts w:ascii="Source Sans Pro" w:hAnsi="Source Sans Pro"/>
          <w:sz w:val="24"/>
          <w:szCs w:val="24"/>
        </w:rPr>
        <w:t>, for more information on academic language in the classroom.</w:t>
      </w:r>
    </w:p>
    <w:p w:rsidRPr="0023714A" w:rsidR="008E4866" w:rsidP="00AD1133" w:rsidRDefault="008E4866" w14:paraId="3C459D99" w14:textId="3C461BFC">
      <w:pPr>
        <w:spacing w:after="1680" w:line="240" w:lineRule="auto"/>
        <w:rPr>
          <w:rFonts w:ascii="Source Sans Pro" w:hAnsi="Source Sans Pro"/>
          <w:sz w:val="24"/>
          <w:szCs w:val="24"/>
        </w:rPr>
      </w:pPr>
      <w:r w:rsidRPr="0023714A">
        <w:rPr>
          <w:rFonts w:ascii="Source Sans Pro" w:hAnsi="Source Sans Pro"/>
          <w:sz w:val="24"/>
          <w:szCs w:val="24"/>
        </w:rPr>
        <w:t>Article notes:</w:t>
      </w:r>
    </w:p>
    <w:p w:rsidRPr="0023714A" w:rsidR="00F47F3A" w:rsidP="00AD1133" w:rsidRDefault="008E4866" w14:paraId="15D2F06C" w14:textId="34544768">
      <w:pPr>
        <w:spacing w:after="1680" w:line="240" w:lineRule="auto"/>
        <w:rPr>
          <w:rFonts w:ascii="Source Sans Pro" w:hAnsi="Source Sans Pro" w:eastAsia="Calibri" w:cstheme="minorHAnsi"/>
          <w:color w:val="000000" w:themeColor="text1"/>
          <w:sz w:val="24"/>
          <w:szCs w:val="24"/>
        </w:rPr>
      </w:pPr>
      <w:r w:rsidRPr="0023714A">
        <w:rPr>
          <w:rFonts w:ascii="Source Sans Pro" w:hAnsi="Source Sans Pro"/>
          <w:sz w:val="24"/>
          <w:szCs w:val="24"/>
        </w:rPr>
        <w:t xml:space="preserve">What practical advice from this article can </w:t>
      </w:r>
      <w:r w:rsidRPr="0023714A" w:rsidR="00B57268">
        <w:rPr>
          <w:rFonts w:ascii="Source Sans Pro" w:hAnsi="Source Sans Pro"/>
          <w:sz w:val="24"/>
          <w:szCs w:val="24"/>
        </w:rPr>
        <w:t>you</w:t>
      </w:r>
      <w:r w:rsidRPr="0023714A">
        <w:rPr>
          <w:rFonts w:ascii="Source Sans Pro" w:hAnsi="Source Sans Pro"/>
          <w:sz w:val="24"/>
          <w:szCs w:val="24"/>
        </w:rPr>
        <w:t xml:space="preserve"> incorporate into </w:t>
      </w:r>
      <w:r w:rsidRPr="0023714A" w:rsidR="00B57268">
        <w:rPr>
          <w:rFonts w:ascii="Source Sans Pro" w:hAnsi="Source Sans Pro"/>
          <w:sz w:val="24"/>
          <w:szCs w:val="24"/>
        </w:rPr>
        <w:t>your</w:t>
      </w:r>
      <w:r w:rsidRPr="0023714A">
        <w:rPr>
          <w:rFonts w:ascii="Source Sans Pro" w:hAnsi="Source Sans Pro"/>
          <w:sz w:val="24"/>
          <w:szCs w:val="24"/>
        </w:rPr>
        <w:t xml:space="preserve"> practice?</w:t>
      </w:r>
    </w:p>
    <w:p w:rsidRPr="007F4C70" w:rsidR="00F47F3A" w:rsidP="00AD1133" w:rsidRDefault="007F4C70" w14:paraId="301412D8" w14:textId="53D2A470">
      <w:pPr>
        <w:spacing w:after="240" w:line="240" w:lineRule="auto"/>
        <w:rPr>
          <w:rFonts w:ascii="Source Sans Pro" w:hAnsi="Source Sans Pro" w:eastAsia="Calibri" w:cstheme="minorHAnsi"/>
          <w:b/>
          <w:bCs/>
          <w:sz w:val="28"/>
          <w:szCs w:val="28"/>
        </w:rPr>
      </w:pPr>
      <w:r w:rsidRPr="007F4C70">
        <w:rPr>
          <w:rFonts w:ascii="Source Sans Pro" w:hAnsi="Source Sans Pro" w:eastAsia="Calibri" w:cstheme="minorHAnsi"/>
          <w:b/>
          <w:bCs/>
          <w:sz w:val="28"/>
          <w:szCs w:val="28"/>
        </w:rPr>
        <w:t>COURSE REFLECTION:</w:t>
      </w:r>
    </w:p>
    <w:p w:rsidR="007F4C70" w:rsidP="00AD1133" w:rsidRDefault="00F47F3A" w14:paraId="1D898C20" w14:textId="03255A98">
      <w:pPr>
        <w:spacing w:after="240" w:line="240" w:lineRule="auto"/>
        <w:rPr>
          <w:rFonts w:ascii="Source Sans Pro" w:hAnsi="Source Sans Pro" w:eastAsia="Calibri" w:cstheme="minorHAnsi"/>
          <w:color w:val="000000" w:themeColor="text1"/>
          <w:sz w:val="24"/>
          <w:szCs w:val="24"/>
        </w:rPr>
      </w:pPr>
      <w:r w:rsidRPr="0023714A">
        <w:rPr>
          <w:rFonts w:ascii="Source Sans Pro" w:hAnsi="Source Sans Pro" w:cstheme="minorHAnsi"/>
          <w:sz w:val="24"/>
          <w:szCs w:val="24"/>
        </w:rPr>
        <w:t xml:space="preserve">On your own or with colleagues, review a small set of central texts, problems, videos, </w:t>
      </w:r>
      <w:r w:rsidRPr="0023714A" w:rsidR="00B57268">
        <w:rPr>
          <w:rFonts w:ascii="Source Sans Pro" w:hAnsi="Source Sans Pro" w:cstheme="minorHAnsi"/>
          <w:sz w:val="24"/>
          <w:szCs w:val="24"/>
        </w:rPr>
        <w:t xml:space="preserve">or other classroom documents </w:t>
      </w:r>
      <w:r w:rsidRPr="0023714A">
        <w:rPr>
          <w:rFonts w:ascii="Source Sans Pro" w:hAnsi="Source Sans Pro" w:cstheme="minorHAnsi"/>
          <w:sz w:val="24"/>
          <w:szCs w:val="24"/>
        </w:rPr>
        <w:t xml:space="preserve">for a content area. Identify common connectives within the texts. A list of common connectives is provided in this </w:t>
      </w:r>
      <w:hyperlink w:history="1" w:anchor="page=4" r:id="rId12">
        <w:r w:rsidRPr="0023714A">
          <w:rPr>
            <w:rStyle w:val="Hyperlink"/>
            <w:rFonts w:ascii="Source Sans Pro" w:hAnsi="Source Sans Pro" w:cstheme="minorHAnsi"/>
            <w:sz w:val="24"/>
            <w:szCs w:val="24"/>
          </w:rPr>
          <w:t>viewing guide</w:t>
        </w:r>
      </w:hyperlink>
      <w:r w:rsidRPr="0023714A">
        <w:rPr>
          <w:rFonts w:ascii="Source Sans Pro" w:hAnsi="Source Sans Pro" w:cstheme="minorHAnsi"/>
          <w:sz w:val="24"/>
          <w:szCs w:val="24"/>
        </w:rPr>
        <w:t>. Take a few minutes to consider some instructional routines you can implement, such as those presented in the video, that will allow for students’ meaningful practice with those connectives.</w:t>
      </w:r>
    </w:p>
    <w:p w:rsidRPr="007F4C70" w:rsidR="00B941B7" w:rsidP="0FB7D21D" w:rsidRDefault="007F4C70" w14:paraId="18A81474" w14:textId="653E72C8">
      <w:pPr>
        <w:rPr>
          <w:rFonts w:ascii="Source Sans Pro" w:hAnsi="Source Sans Pro" w:eastAsia="Calibri" w:cstheme="minorHAnsi"/>
          <w:color w:val="000000" w:themeColor="text1"/>
          <w:sz w:val="24"/>
          <w:szCs w:val="24"/>
        </w:rPr>
      </w:pPr>
      <w:r>
        <w:rPr>
          <w:rFonts w:ascii="Source Sans Pro" w:hAnsi="Source Sans Pro" w:eastAsia="Calibri" w:cstheme="minorHAnsi"/>
          <w:color w:val="000000" w:themeColor="text1"/>
          <w:sz w:val="24"/>
          <w:szCs w:val="24"/>
        </w:rPr>
        <w:br w:type="page"/>
      </w:r>
    </w:p>
    <w:p w:rsidR="0051468B" w:rsidP="0051468B" w:rsidRDefault="1DF678E4" w14:paraId="2DD6379F" w14:textId="77777777">
      <w:pPr>
        <w:spacing w:after="240" w:line="240" w:lineRule="auto"/>
        <w:rPr>
          <w:rFonts w:ascii="Source Sans Pro" w:hAnsi="Source Sans Pro" w:eastAsia="Calibri" w:cstheme="minorHAnsi"/>
          <w:b/>
          <w:bCs/>
          <w:sz w:val="28"/>
          <w:szCs w:val="28"/>
        </w:rPr>
      </w:pPr>
      <w:r w:rsidRPr="007F4C70">
        <w:rPr>
          <w:rFonts w:ascii="Source Sans Pro" w:hAnsi="Source Sans Pro" w:eastAsia="Calibri" w:cstheme="minorHAnsi"/>
          <w:b/>
          <w:bCs/>
          <w:sz w:val="28"/>
          <w:szCs w:val="28"/>
        </w:rPr>
        <w:lastRenderedPageBreak/>
        <w:t>T</w:t>
      </w:r>
      <w:r w:rsidR="007F4C70">
        <w:rPr>
          <w:rFonts w:ascii="Source Sans Pro" w:hAnsi="Source Sans Pro" w:eastAsia="Calibri" w:cstheme="minorHAnsi"/>
          <w:b/>
          <w:bCs/>
          <w:sz w:val="28"/>
          <w:szCs w:val="28"/>
        </w:rPr>
        <w:t>HE</w:t>
      </w:r>
      <w:r w:rsidRPr="007F4C70">
        <w:rPr>
          <w:rFonts w:ascii="Source Sans Pro" w:hAnsi="Source Sans Pro" w:eastAsia="Calibri" w:cstheme="minorHAnsi"/>
          <w:b/>
          <w:bCs/>
          <w:sz w:val="28"/>
          <w:szCs w:val="28"/>
        </w:rPr>
        <w:t xml:space="preserve"> </w:t>
      </w:r>
      <w:r w:rsidR="007F4C70">
        <w:rPr>
          <w:rFonts w:ascii="Source Sans Pro" w:hAnsi="Source Sans Pro" w:eastAsia="Calibri" w:cstheme="minorHAnsi"/>
          <w:b/>
          <w:bCs/>
          <w:sz w:val="28"/>
          <w:szCs w:val="28"/>
        </w:rPr>
        <w:t xml:space="preserve">FOLLOWING RESOURCES ARE LISTED IN THE </w:t>
      </w:r>
      <w:r w:rsidR="0051468B">
        <w:rPr>
          <w:rFonts w:ascii="Source Sans Pro" w:hAnsi="Source Sans Pro" w:eastAsia="Calibri" w:cstheme="minorHAnsi"/>
          <w:b/>
          <w:bCs/>
          <w:sz w:val="28"/>
          <w:szCs w:val="28"/>
        </w:rPr>
        <w:t>COURSE:</w:t>
      </w:r>
    </w:p>
    <w:p w:rsidRPr="0023714A" w:rsidR="00554AE1" w:rsidP="0051468B" w:rsidRDefault="00554AE1" w14:paraId="05016C8C" w14:textId="0E208D08">
      <w:pPr>
        <w:spacing w:after="240" w:line="240" w:lineRule="auto"/>
        <w:rPr>
          <w:rFonts w:ascii="Source Sans Pro" w:hAnsi="Source Sans Pro" w:cstheme="minorHAnsi"/>
          <w:iCs/>
          <w:sz w:val="24"/>
          <w:szCs w:val="24"/>
        </w:rPr>
      </w:pPr>
      <w:r w:rsidRPr="0023714A">
        <w:rPr>
          <w:rFonts w:ascii="Source Sans Pro" w:hAnsi="Source Sans Pro" w:cstheme="minorHAnsi"/>
          <w:iCs/>
          <w:sz w:val="24"/>
          <w:szCs w:val="24"/>
        </w:rPr>
        <w:t xml:space="preserve">View a </w:t>
      </w:r>
      <w:hyperlink w:history="1" r:id="rId13">
        <w:r w:rsidRPr="0023714A">
          <w:rPr>
            <w:rStyle w:val="Hyperlink"/>
            <w:rFonts w:ascii="Source Sans Pro" w:hAnsi="Source Sans Pro" w:cstheme="minorHAnsi"/>
            <w:iCs/>
            <w:sz w:val="24"/>
            <w:szCs w:val="24"/>
          </w:rPr>
          <w:t>video example</w:t>
        </w:r>
      </w:hyperlink>
      <w:r w:rsidRPr="0023714A">
        <w:rPr>
          <w:rFonts w:ascii="Source Sans Pro" w:hAnsi="Source Sans Pro" w:cstheme="minorHAnsi"/>
          <w:iCs/>
          <w:sz w:val="24"/>
          <w:szCs w:val="24"/>
        </w:rPr>
        <w:t xml:space="preserve"> of teacher Lili Velo as she explains the value of academic language and uses a tool to support the use of transitions in writing for history in her sheltered instruction environment classroom for English learners.</w:t>
      </w:r>
    </w:p>
    <w:p w:rsidRPr="0023714A" w:rsidR="00710471" w:rsidP="0051468B" w:rsidRDefault="002A2925" w14:paraId="2F0092BF" w14:textId="28580236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Style w:val="Hyperlink"/>
          <w:rFonts w:ascii="Source Sans Pro" w:hAnsi="Source Sans Pro" w:eastAsiaTheme="minorEastAsia" w:cstheme="minorHAnsi"/>
          <w:i/>
          <w:iCs/>
          <w:sz w:val="24"/>
          <w:szCs w:val="24"/>
        </w:rPr>
      </w:pPr>
      <w:r w:rsidRPr="74495142" w:rsidR="002A2925">
        <w:rPr>
          <w:rFonts w:ascii="Source Sans Pro" w:hAnsi="Source Sans Pro"/>
          <w:sz w:val="24"/>
          <w:szCs w:val="24"/>
        </w:rPr>
        <w:t xml:space="preserve">E. Sutton Flynt and William G. Brozo highlight the importance of academic language and some strategies for developing it in </w:t>
      </w:r>
      <w:hyperlink r:id="Rf294a1451e5c4740">
        <w:r w:rsidRPr="74495142" w:rsidR="00710471">
          <w:rPr>
            <w:rStyle w:val="Hyperlink"/>
            <w:rFonts w:ascii="Source Sans Pro" w:hAnsi="Source Sans Pro" w:eastAsia="" w:cs="Calibri" w:eastAsiaTheme="minorEastAsia" w:cstheme="minorAscii"/>
            <w:i w:val="1"/>
            <w:iCs w:val="1"/>
            <w:sz w:val="24"/>
            <w:szCs w:val="24"/>
          </w:rPr>
          <w:t>Developing Academic Language: Got Words?</w:t>
        </w:r>
      </w:hyperlink>
    </w:p>
    <w:p w:rsidRPr="000B26D5" w:rsidR="1DF678E4" w:rsidP="4F6A71BF" w:rsidRDefault="00710471" w14:paraId="2F08CB25" w14:textId="2209A40F">
      <w:pPr>
        <w:pStyle w:val="ListParagraph"/>
        <w:numPr>
          <w:ilvl w:val="0"/>
          <w:numId w:val="2"/>
        </w:numPr>
        <w:spacing w:after="240" w:line="240" w:lineRule="auto"/>
        <w:rPr>
          <w:rFonts w:eastAsia="" w:eastAsiaTheme="minorEastAsia"/>
          <w:i w:val="1"/>
          <w:iCs w:val="1"/>
        </w:rPr>
      </w:pPr>
      <w:r w:rsidRPr="4F6A71BF" w:rsidR="00710471">
        <w:rPr>
          <w:rFonts w:ascii="Source Sans Pro" w:hAnsi="Source Sans Pro" w:eastAsia="" w:cs="Calibri" w:eastAsiaTheme="minorEastAsia" w:cstheme="minorAscii"/>
          <w:sz w:val="24"/>
          <w:szCs w:val="24"/>
        </w:rPr>
        <w:t xml:space="preserve">Learn from </w:t>
      </w:r>
      <w:hyperlink w:history="1" r:id="Rd9baf7b873be4bdb">
        <w:r w:rsidRPr="4F6A71BF" w:rsidR="00710471">
          <w:rPr>
            <w:rStyle w:val="Hyperlink"/>
            <w:rFonts w:ascii="Source Sans Pro" w:hAnsi="Source Sans Pro" w:eastAsia="" w:cs="Calibri" w:eastAsiaTheme="minorEastAsia" w:cstheme="minorAscii"/>
            <w:sz w:val="24"/>
            <w:szCs w:val="24"/>
          </w:rPr>
          <w:t>Dr. Paulo Uccelli</w:t>
        </w:r>
      </w:hyperlink>
      <w:r w:rsidRPr="4F6A71BF" w:rsidR="00710471">
        <w:rPr>
          <w:rFonts w:ascii="Source Sans Pro" w:hAnsi="Source Sans Pro" w:eastAsia="" w:cs="Calibri" w:eastAsiaTheme="minorEastAsia" w:cstheme="minorAscii"/>
          <w:sz w:val="24"/>
          <w:szCs w:val="24"/>
        </w:rPr>
        <w:t xml:space="preserve"> as she compares academic language with everyday lang</w:t>
      </w:r>
      <w:r w:rsidRPr="4F6A71BF" w:rsidR="00710471">
        <w:rPr>
          <w:rFonts w:ascii="Source Sans Pro" w:hAnsi="Source Sans Pro" w:eastAsia="" w:eastAsiaTheme="minorEastAsia"/>
          <w:sz w:val="24"/>
          <w:szCs w:val="24"/>
        </w:rPr>
        <w:t>uage.</w:t>
      </w:r>
      <w:r w:rsidR="000B26D5">
        <w:rPr>
          <w:noProof/>
        </w:rPr>
        <w:drawing>
          <wp:anchor distT="0" distB="0" distL="114300" distR="114300" simplePos="0" relativeHeight="251658240" behindDoc="1" locked="0" layoutInCell="1" allowOverlap="1" wp14:anchorId="3DA057F4" wp14:editId="66E7A44B">
            <wp:simplePos x="0" y="0"/>
            <wp:positionH relativeFrom="page">
              <wp:posOffset>0</wp:posOffset>
            </wp:positionH>
            <wp:positionV relativeFrom="paragraph">
              <wp:posOffset>-8665210</wp:posOffset>
            </wp:positionV>
            <wp:extent cx="7770495" cy="1176655"/>
            <wp:effectExtent l="0" t="0" r="0" b="0"/>
            <wp:wrapNone/>
            <wp:docPr id="1" name="Picture 1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Background pattern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049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1A2F506" w:rsidP="4F6A71BF" w:rsidRDefault="01A2F506" w14:paraId="5A8EA178" w14:textId="7046F9A1">
      <w:pPr>
        <w:pStyle w:val="ListParagraph"/>
        <w:numPr>
          <w:ilvl w:val="0"/>
          <w:numId w:val="2"/>
        </w:numPr>
        <w:spacing w:after="240" w:line="240" w:lineRule="auto"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  <w:r w:rsidRPr="4F6A71BF" w:rsidR="01A2F506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View a </w:t>
      </w:r>
      <w:hyperlink r:id="Rff3da27e5a404f87">
        <w:r w:rsidRPr="4F6A71BF" w:rsidR="01A2F506">
          <w:rPr>
            <w:rStyle w:val="Hyperlink"/>
            <w:rFonts w:ascii="Source Sans Pro" w:hAnsi="Source Sans Pro" w:eastAsia="Source Sans Pro" w:cs="Source Sans Pro"/>
            <w:noProof w:val="0"/>
            <w:sz w:val="24"/>
            <w:szCs w:val="24"/>
            <w:lang w:val="en-US"/>
          </w:rPr>
          <w:t>video example of teacher Lili Velo</w:t>
        </w:r>
      </w:hyperlink>
      <w:r w:rsidRPr="4F6A71BF" w:rsidR="01A2F506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 as she explains the value of academic language and uses a tool that supports the use of transitions when writing as part of a history lesson with students in a sheltered instruction environment </w:t>
      </w:r>
      <w:r w:rsidRPr="4F6A71BF" w:rsidR="01A2F506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classroo</w:t>
      </w:r>
      <w:r w:rsidRPr="4F6A71BF" w:rsidR="01A2F506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m.  </w:t>
      </w:r>
    </w:p>
    <w:sectPr w:rsidRPr="000B26D5" w:rsidR="1DF678E4" w:rsidSect="004013B3">
      <w:headerReference w:type="default" r:id="rId18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B0272" w:rsidP="00B941B7" w:rsidRDefault="00AB0272" w14:paraId="652E600F" w14:textId="77777777">
      <w:pPr>
        <w:spacing w:after="0" w:line="240" w:lineRule="auto"/>
      </w:pPr>
      <w:r>
        <w:separator/>
      </w:r>
    </w:p>
  </w:endnote>
  <w:endnote w:type="continuationSeparator" w:id="0">
    <w:p w:rsidR="00AB0272" w:rsidP="00B941B7" w:rsidRDefault="00AB0272" w14:paraId="7E761C50" w14:textId="77777777">
      <w:pPr>
        <w:spacing w:after="0" w:line="240" w:lineRule="auto"/>
      </w:pPr>
      <w:r>
        <w:continuationSeparator/>
      </w:r>
    </w:p>
  </w:endnote>
  <w:endnote w:type="continuationNotice" w:id="1">
    <w:p w:rsidR="00B26AC5" w:rsidRDefault="00B26AC5" w14:paraId="0C516E4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B0272" w:rsidP="00B941B7" w:rsidRDefault="00AB0272" w14:paraId="1E151938" w14:textId="77777777">
      <w:pPr>
        <w:spacing w:after="0" w:line="240" w:lineRule="auto"/>
      </w:pPr>
      <w:r>
        <w:separator/>
      </w:r>
    </w:p>
  </w:footnote>
  <w:footnote w:type="continuationSeparator" w:id="0">
    <w:p w:rsidR="00AB0272" w:rsidP="00B941B7" w:rsidRDefault="00AB0272" w14:paraId="70055AC3" w14:textId="77777777">
      <w:pPr>
        <w:spacing w:after="0" w:line="240" w:lineRule="auto"/>
      </w:pPr>
      <w:r>
        <w:continuationSeparator/>
      </w:r>
    </w:p>
  </w:footnote>
  <w:footnote w:type="continuationNotice" w:id="1">
    <w:p w:rsidR="00B26AC5" w:rsidRDefault="00B26AC5" w14:paraId="4C21CF8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941B7" w:rsidP="003441C8" w:rsidRDefault="00C04A98" w14:paraId="1D1F8AED" w14:textId="4958008B">
    <w:pPr>
      <w:pStyle w:val="Header"/>
      <w:tabs>
        <w:tab w:val="clear" w:pos="4680"/>
        <w:tab w:val="clear" w:pos="9360"/>
        <w:tab w:val="left" w:pos="2721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019A7AA" wp14:editId="0F0215E4">
          <wp:simplePos x="0" y="0"/>
          <wp:positionH relativeFrom="column">
            <wp:posOffset>-850900</wp:posOffset>
          </wp:positionH>
          <wp:positionV relativeFrom="paragraph">
            <wp:posOffset>-419100</wp:posOffset>
          </wp:positionV>
          <wp:extent cx="7665875" cy="9920544"/>
          <wp:effectExtent l="0" t="0" r="0" b="0"/>
          <wp:wrapNone/>
          <wp:docPr id="656623113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623113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5875" cy="9920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2E76F3"/>
    <w:multiLevelType w:val="hybridMultilevel"/>
    <w:tmpl w:val="23E8C3EC"/>
    <w:lvl w:ilvl="0" w:tplc="BE80D95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C62B9C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43CA72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8DE433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5E42B7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68672F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E109C7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36686E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F980A3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77D902C0"/>
    <w:multiLevelType w:val="hybridMultilevel"/>
    <w:tmpl w:val="83C8F37E"/>
    <w:lvl w:ilvl="0" w:tplc="C284BA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F612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76F2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920C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D27C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107F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EE99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AC4C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4033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F454054"/>
    <w:multiLevelType w:val="hybridMultilevel"/>
    <w:tmpl w:val="BDB8BF2A"/>
    <w:lvl w:ilvl="0" w:tplc="2D6C133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523476109">
    <w:abstractNumId w:val="1"/>
  </w:num>
  <w:num w:numId="2" w16cid:durableId="375349789">
    <w:abstractNumId w:val="2"/>
  </w:num>
  <w:num w:numId="3" w16cid:durableId="46520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43139F"/>
    <w:rsid w:val="00020A89"/>
    <w:rsid w:val="000612C8"/>
    <w:rsid w:val="000B26D5"/>
    <w:rsid w:val="000F6843"/>
    <w:rsid w:val="00127CC4"/>
    <w:rsid w:val="001843C0"/>
    <w:rsid w:val="001A5BEC"/>
    <w:rsid w:val="001D4CB7"/>
    <w:rsid w:val="001E3BB3"/>
    <w:rsid w:val="0023714A"/>
    <w:rsid w:val="002A1022"/>
    <w:rsid w:val="002A2925"/>
    <w:rsid w:val="002B77D7"/>
    <w:rsid w:val="002B7D49"/>
    <w:rsid w:val="002D0D64"/>
    <w:rsid w:val="00300CD7"/>
    <w:rsid w:val="00333C55"/>
    <w:rsid w:val="003441C8"/>
    <w:rsid w:val="00344430"/>
    <w:rsid w:val="00357113"/>
    <w:rsid w:val="003C4C0C"/>
    <w:rsid w:val="004013B3"/>
    <w:rsid w:val="004510D4"/>
    <w:rsid w:val="0051468B"/>
    <w:rsid w:val="00546F2D"/>
    <w:rsid w:val="00554AE1"/>
    <w:rsid w:val="00571D93"/>
    <w:rsid w:val="005C3EBB"/>
    <w:rsid w:val="005F730C"/>
    <w:rsid w:val="00607037"/>
    <w:rsid w:val="00616562"/>
    <w:rsid w:val="00701FD9"/>
    <w:rsid w:val="00710471"/>
    <w:rsid w:val="00723C5E"/>
    <w:rsid w:val="00750062"/>
    <w:rsid w:val="00770434"/>
    <w:rsid w:val="007726F2"/>
    <w:rsid w:val="00790728"/>
    <w:rsid w:val="007A31A9"/>
    <w:rsid w:val="007F4C70"/>
    <w:rsid w:val="00804540"/>
    <w:rsid w:val="00847AD6"/>
    <w:rsid w:val="008E4866"/>
    <w:rsid w:val="009105D8"/>
    <w:rsid w:val="009131C0"/>
    <w:rsid w:val="00966866"/>
    <w:rsid w:val="00A66DB9"/>
    <w:rsid w:val="00AB0272"/>
    <w:rsid w:val="00AD1133"/>
    <w:rsid w:val="00AD4D79"/>
    <w:rsid w:val="00B26AC5"/>
    <w:rsid w:val="00B3436D"/>
    <w:rsid w:val="00B57268"/>
    <w:rsid w:val="00B941B7"/>
    <w:rsid w:val="00BC13AF"/>
    <w:rsid w:val="00BE313B"/>
    <w:rsid w:val="00C04A98"/>
    <w:rsid w:val="00C36C6C"/>
    <w:rsid w:val="00CA7F31"/>
    <w:rsid w:val="00CF2B5F"/>
    <w:rsid w:val="00D22542"/>
    <w:rsid w:val="00D36B3E"/>
    <w:rsid w:val="00D51C75"/>
    <w:rsid w:val="00D8634C"/>
    <w:rsid w:val="00D9743A"/>
    <w:rsid w:val="00DD07C4"/>
    <w:rsid w:val="00DE620C"/>
    <w:rsid w:val="00E1328E"/>
    <w:rsid w:val="00EA5588"/>
    <w:rsid w:val="00EC38D8"/>
    <w:rsid w:val="00EE0B16"/>
    <w:rsid w:val="00F47F3A"/>
    <w:rsid w:val="00FA1080"/>
    <w:rsid w:val="00FD59FF"/>
    <w:rsid w:val="0143139F"/>
    <w:rsid w:val="01A2F506"/>
    <w:rsid w:val="0AE460FA"/>
    <w:rsid w:val="0FB7D21D"/>
    <w:rsid w:val="1DF678E4"/>
    <w:rsid w:val="326C7575"/>
    <w:rsid w:val="44BB841C"/>
    <w:rsid w:val="488D9554"/>
    <w:rsid w:val="4F6A71BF"/>
    <w:rsid w:val="54B3FA06"/>
    <w:rsid w:val="6C3113FE"/>
    <w:rsid w:val="74495142"/>
    <w:rsid w:val="778EAEE7"/>
    <w:rsid w:val="792A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3139F"/>
  <w15:chartTrackingRefBased/>
  <w15:docId w15:val="{4EF49EAA-C7C5-4336-BBFD-D1FEE74E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FB7D21D"/>
  </w:style>
  <w:style w:type="character" w:styleId="eop" w:customStyle="1">
    <w:name w:val="eop"/>
    <w:basedOn w:val="DefaultParagraphFont"/>
    <w:rsid w:val="0FB7D21D"/>
  </w:style>
  <w:style w:type="paragraph" w:styleId="paragraph" w:customStyle="1">
    <w:name w:val="paragraph"/>
    <w:basedOn w:val="Normal"/>
    <w:rsid w:val="0FB7D21D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04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43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41B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41B7"/>
  </w:style>
  <w:style w:type="paragraph" w:styleId="Footer">
    <w:name w:val="footer"/>
    <w:basedOn w:val="Normal"/>
    <w:link w:val="FooterChar"/>
    <w:uiPriority w:val="99"/>
    <w:unhideWhenUsed/>
    <w:rsid w:val="00B941B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41B7"/>
  </w:style>
  <w:style w:type="character" w:styleId="Emphasis">
    <w:name w:val="Emphasis"/>
    <w:basedOn w:val="DefaultParagraphFont"/>
    <w:uiPriority w:val="20"/>
    <w:qFormat/>
    <w:rsid w:val="008E4866"/>
    <w:rPr>
      <w:i/>
      <w:iCs/>
    </w:rPr>
  </w:style>
  <w:style w:type="character" w:styleId="Strong">
    <w:name w:val="Strong"/>
    <w:basedOn w:val="DefaultParagraphFont"/>
    <w:uiPriority w:val="22"/>
    <w:qFormat/>
    <w:rsid w:val="00D51C7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974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7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learner.org/series/reading-writing-in-the-disciplines/reading-and-analyzing-texts/expanding-academic-language/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education.ohio.gov/getattachment/Topics/Learning-in-Ohio/Literacy/Literacy-Academy/Literacy-Academy-On-Demand/Supporting-All-Learners-to-Build-Literacy-in-the-Content-Area-Classroom-Viewing-Guide.pdf.aspx?lang=en-US" TargetMode="External" Id="rId12" /><Relationship Type="http://schemas.openxmlformats.org/officeDocument/2006/relationships/image" Target="media/image2.png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gif" Id="rId11" /><Relationship Type="http://schemas.openxmlformats.org/officeDocument/2006/relationships/styles" Target="styles.xml" Id="rId5" /><Relationship Type="http://schemas.openxmlformats.org/officeDocument/2006/relationships/hyperlink" Target="https://www.readingrockets.org/article/developing-academic-language-got-words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readingrockets.org/article/developing-academic-language-got-words" TargetMode="External" Id="Rf294a1451e5c4740" /><Relationship Type="http://schemas.openxmlformats.org/officeDocument/2006/relationships/hyperlink" Target="https://www.serpinstitute.org/wordgen-weekly/academic-language" TargetMode="External" Id="Rd9baf7b873be4bdb" /><Relationship Type="http://schemas.openxmlformats.org/officeDocument/2006/relationships/hyperlink" Target="https://www.learner.org/series/reading-writing-in-the-disciplines/reading-and-analyzing-texts/expanding-academic-language/" TargetMode="External" Id="Rff3da27e5a404f8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185B53CB25647951E5B6202B90D8D" ma:contentTypeVersion="17" ma:contentTypeDescription="Create a new document." ma:contentTypeScope="" ma:versionID="2c4ed9caeb07b74bf85419a6bf2189c4">
  <xsd:schema xmlns:xsd="http://www.w3.org/2001/XMLSchema" xmlns:xs="http://www.w3.org/2001/XMLSchema" xmlns:p="http://schemas.microsoft.com/office/2006/metadata/properties" xmlns:ns1="http://schemas.microsoft.com/sharepoint/v3" xmlns:ns2="13aa1949-f5e2-4c52-b932-8f660dd535d1" xmlns:ns3="17ff74c0-0fb8-4c89-886e-60f2c4e30a55" targetNamespace="http://schemas.microsoft.com/office/2006/metadata/properties" ma:root="true" ma:fieldsID="415241ad5c1961f11f9f39e1e3d92a98" ns1:_="" ns2:_="" ns3:_="">
    <xsd:import namespace="http://schemas.microsoft.com/sharepoint/v3"/>
    <xsd:import namespace="13aa1949-f5e2-4c52-b932-8f660dd535d1"/>
    <xsd:import namespace="17ff74c0-0fb8-4c89-886e-60f2c4e30a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a1949-f5e2-4c52-b932-8f660dd53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f74c0-0fb8-4c89-886e-60f2c4e30a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b4aea8-cce7-4d40-b731-d4ec9bc2c63d}" ma:internalName="TaxCatchAll" ma:showField="CatchAllData" ma:web="17ff74c0-0fb8-4c89-886e-60f2c4e30a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ff74c0-0fb8-4c89-886e-60f2c4e30a55" xsi:nil="true"/>
    <lcf76f155ced4ddcb4097134ff3c332f xmlns="13aa1949-f5e2-4c52-b932-8f660dd535d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9620E-C8CE-4F29-A864-9B7A4E75ACBB}"/>
</file>

<file path=customXml/itemProps2.xml><?xml version="1.0" encoding="utf-8"?>
<ds:datastoreItem xmlns:ds="http://schemas.openxmlformats.org/officeDocument/2006/customXml" ds:itemID="{10B9CC25-4CB7-494E-BFBD-B618A5B19768}">
  <ds:schemaRefs>
    <ds:schemaRef ds:uri="13aa1949-f5e2-4c52-b932-8f660dd535d1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17ff74c0-0fb8-4c89-886e-60f2c4e30a55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365F569-D82A-4DF3-ACF0-6EB3DA5733D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Luke, Jeremy</dc:creator>
  <keywords/>
  <dc:description/>
  <lastModifiedBy>Luke, Jeremy</lastModifiedBy>
  <revision>17</revision>
  <dcterms:created xsi:type="dcterms:W3CDTF">2024-08-08T19:24:00.0000000Z</dcterms:created>
  <dcterms:modified xsi:type="dcterms:W3CDTF">2024-10-03T16:45:17.8921296Z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0x010100F12185B53CB25647951E5B6202B90D8D</vt:lpwstr>
  </property>
  <property fmtid="{D5CDD505-2E9C-101B-9397-08002B2CF9AE}" pid="3" name="MediaServiceImageTags">
    <vt:lpwstr/>
  </property>
</Properties>
</file>