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01DD2" w14:textId="49438820" w:rsidR="008D5A4B" w:rsidRDefault="0050469A" w:rsidP="00351C8B">
      <w:pPr>
        <w:spacing w:after="240" w:line="240" w:lineRule="auto"/>
        <w:jc w:val="center"/>
        <w:rPr>
          <w:rFonts w:ascii="Source Sans Pro" w:eastAsia="Calibri" w:hAnsi="Source Sans Pro" w:cs="Calibri"/>
          <w:b/>
          <w:bCs/>
          <w:color w:val="0E3F75"/>
          <w:sz w:val="48"/>
          <w:szCs w:val="48"/>
        </w:rPr>
      </w:pPr>
      <w:r>
        <w:rPr>
          <w:rFonts w:ascii="Source Sans Pro" w:eastAsia="Calibri" w:hAnsi="Source Sans Pro" w:cs="Calibri"/>
          <w:b/>
          <w:bCs/>
          <w:color w:val="0E3F75"/>
          <w:sz w:val="48"/>
          <w:szCs w:val="48"/>
        </w:rPr>
        <w:t>Motivating Adolescents to Read and Write</w:t>
      </w:r>
    </w:p>
    <w:p w14:paraId="698193BE" w14:textId="07EF63DA" w:rsidR="0050469A" w:rsidRPr="006575D8" w:rsidRDefault="006575D8" w:rsidP="00351C8B">
      <w:pPr>
        <w:spacing w:after="240" w:line="240" w:lineRule="auto"/>
        <w:jc w:val="center"/>
        <w:rPr>
          <w:rFonts w:ascii="Source Sans Pro" w:eastAsia="Calibri" w:hAnsi="Source Sans Pro" w:cs="Calibri"/>
          <w:b/>
          <w:bCs/>
          <w:color w:val="0E3F75"/>
          <w:sz w:val="36"/>
          <w:szCs w:val="36"/>
        </w:rPr>
      </w:pPr>
      <w:r>
        <w:rPr>
          <w:rFonts w:ascii="Source Sans Pro" w:eastAsia="Calibri" w:hAnsi="Source Sans Pro" w:cs="Calibri"/>
          <w:b/>
          <w:bCs/>
          <w:color w:val="0E3F75"/>
          <w:sz w:val="36"/>
          <w:szCs w:val="36"/>
        </w:rPr>
        <w:t>Course Companion</w:t>
      </w:r>
    </w:p>
    <w:p w14:paraId="17C06A13" w14:textId="4BB2248E" w:rsidR="00221260" w:rsidRDefault="00221260" w:rsidP="00221260">
      <w:pPr>
        <w:spacing w:after="240" w:line="240" w:lineRule="auto"/>
        <w:rPr>
          <w:rFonts w:ascii="Source Sans Pro" w:eastAsia="Calibri" w:hAnsi="Source Sans Pro" w:cstheme="minorHAnsi"/>
          <w:color w:val="000000" w:themeColor="text1"/>
          <w:sz w:val="24"/>
          <w:szCs w:val="24"/>
        </w:rPr>
      </w:pPr>
      <w:r w:rsidRPr="00221260">
        <w:rPr>
          <w:rFonts w:ascii="Source Sans Pro" w:eastAsia="Calibri" w:hAnsi="Source Sans Pro"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14:paraId="5D7C7C1E" w14:textId="61912189" w:rsidR="00546F2D" w:rsidRPr="003B6547" w:rsidRDefault="003B6547" w:rsidP="00221260">
      <w:pPr>
        <w:spacing w:after="240" w:line="240" w:lineRule="auto"/>
        <w:rPr>
          <w:rStyle w:val="normaltextrun"/>
          <w:rFonts w:ascii="Source Sans Pro" w:eastAsia="Calibri" w:hAnsi="Source Sans Pro" w:cstheme="minorHAnsi"/>
          <w:b/>
          <w:bCs/>
          <w:sz w:val="28"/>
          <w:szCs w:val="28"/>
        </w:rPr>
      </w:pPr>
      <w:r>
        <w:rPr>
          <w:rStyle w:val="normaltextrun"/>
          <w:rFonts w:ascii="Source Sans Pro" w:eastAsia="Calibri" w:hAnsi="Source Sans Pro" w:cstheme="minorHAnsi"/>
          <w:b/>
          <w:bCs/>
          <w:sz w:val="28"/>
          <w:szCs w:val="28"/>
        </w:rPr>
        <w:t>CONSIDER THIS SCENARIO</w:t>
      </w:r>
    </w:p>
    <w:p w14:paraId="5CF329D8" w14:textId="0AC0FA0C" w:rsidR="00C01FEA" w:rsidRDefault="00717049" w:rsidP="00C01FEA">
      <w:pPr>
        <w:spacing w:after="240" w:line="240" w:lineRule="auto"/>
        <w:ind w:left="720"/>
        <w:rPr>
          <w:rFonts w:ascii="Source Sans Pro" w:hAnsi="Source Sans Pro"/>
          <w:i/>
          <w:iCs/>
          <w:sz w:val="24"/>
          <w:szCs w:val="24"/>
        </w:rPr>
      </w:pPr>
      <w:r w:rsidRPr="00717049">
        <w:rPr>
          <w:rFonts w:ascii="Source Sans Pro" w:hAnsi="Source Sans Pro"/>
          <w:i/>
          <w:iCs/>
          <w:sz w:val="24"/>
          <w:szCs w:val="24"/>
        </w:rPr>
        <w:t>10th grade English teacher Mr. Russell struggles to engage his students in reading and writing with texts that aren’t of interest to his students. Mr. Russell expects this response from his students when reading nonfiction or historical texts and attempts to pre-correct by acknowledging their feelings and emphasizing the value of this learning on their overall academics and achievement. However, he still finds that engagement in tasks relating to these low-interest texts is low and often, classroom performance was affected.</w:t>
      </w:r>
    </w:p>
    <w:p w14:paraId="7E52A1DC" w14:textId="04055DFB" w:rsidR="00546F2D" w:rsidRPr="007D5536" w:rsidRDefault="007D5536" w:rsidP="00717049">
      <w:pPr>
        <w:spacing w:after="240" w:line="240" w:lineRule="auto"/>
        <w:rPr>
          <w:rFonts w:ascii="Source Sans Pro" w:eastAsia="Calibri" w:hAnsi="Source Sans Pro" w:cstheme="minorHAnsi"/>
          <w:color w:val="000000" w:themeColor="text1"/>
          <w:sz w:val="24"/>
          <w:szCs w:val="24"/>
        </w:rPr>
      </w:pPr>
      <w:r w:rsidRPr="007D5536">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14:paraId="204F7E8F" w14:textId="77777777" w:rsidTr="003B6547">
        <w:trPr>
          <w:trHeight w:val="2880"/>
        </w:trPr>
        <w:tc>
          <w:tcPr>
            <w:tcW w:w="9350" w:type="dxa"/>
            <w:tcBorders>
              <w:top w:val="nil"/>
              <w:left w:val="nil"/>
              <w:bottom w:val="nil"/>
              <w:right w:val="nil"/>
            </w:tcBorders>
          </w:tcPr>
          <w:p w14:paraId="22227E2E"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4BFF5168" w14:textId="1E1D81CF" w:rsidR="003B6547" w:rsidRDefault="00C01FEA" w:rsidP="003B6547">
      <w:pPr>
        <w:spacing w:before="240" w:after="240" w:line="240" w:lineRule="auto"/>
        <w:rPr>
          <w:rStyle w:val="eop"/>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t>WHY MOTIVATION?</w:t>
      </w:r>
    </w:p>
    <w:p w14:paraId="2574CBDD" w14:textId="0AF49FA7" w:rsidR="00C01FEA" w:rsidRPr="00A0268F" w:rsidRDefault="00A0268F" w:rsidP="003B6547">
      <w:pPr>
        <w:spacing w:before="240" w:after="240" w:line="240" w:lineRule="auto"/>
        <w:rPr>
          <w:rStyle w:val="eop"/>
          <w:rFonts w:ascii="Source Sans Pro" w:eastAsia="Calibri" w:hAnsi="Source Sans Pro" w:cstheme="minorHAnsi"/>
          <w:sz w:val="24"/>
          <w:szCs w:val="24"/>
        </w:rPr>
      </w:pPr>
      <w:r>
        <w:rPr>
          <w:rStyle w:val="eop"/>
          <w:rFonts w:ascii="Source Sans Pro" w:eastAsia="Calibri" w:hAnsi="Source Sans Pro" w:cstheme="minorHAnsi"/>
          <w:sz w:val="24"/>
          <w:szCs w:val="24"/>
        </w:rPr>
        <w:t>Notes:</w:t>
      </w:r>
    </w:p>
    <w:p w14:paraId="473945CB" w14:textId="77777777" w:rsidR="003B6547" w:rsidRDefault="003B6547">
      <w:pPr>
        <w:rPr>
          <w:rStyle w:val="eop"/>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br w:type="page"/>
      </w:r>
    </w:p>
    <w:p w14:paraId="407DF99A" w14:textId="0F28D27E" w:rsidR="00546F2D" w:rsidRPr="003B6547" w:rsidRDefault="00A0268F" w:rsidP="003B6547">
      <w:pPr>
        <w:spacing w:before="240" w:after="240" w:line="240" w:lineRule="auto"/>
        <w:rPr>
          <w:rFonts w:ascii="Source Sans Pro" w:eastAsia="Calibri" w:hAnsi="Source Sans Pro" w:cstheme="minorHAnsi"/>
          <w:sz w:val="28"/>
          <w:szCs w:val="28"/>
        </w:rPr>
      </w:pPr>
      <w:r>
        <w:rPr>
          <w:rStyle w:val="eop"/>
          <w:rFonts w:ascii="Source Sans Pro" w:eastAsia="Calibri" w:hAnsi="Source Sans Pro" w:cstheme="minorHAnsi"/>
          <w:b/>
          <w:bCs/>
          <w:sz w:val="28"/>
          <w:szCs w:val="28"/>
        </w:rPr>
        <w:lastRenderedPageBreak/>
        <w:t>MOTIVATION WITH DR. JOAN SEDITA (VIDEO)</w:t>
      </w:r>
    </w:p>
    <w:p w14:paraId="5A19BFB9" w14:textId="438671E8" w:rsidR="00546F2D" w:rsidRPr="003B6547" w:rsidRDefault="1DF678E4" w:rsidP="003B6547">
      <w:pPr>
        <w:spacing w:after="240" w:line="240" w:lineRule="auto"/>
        <w:rPr>
          <w:rFonts w:ascii="Source Sans Pro" w:eastAsia="Calibri" w:hAnsi="Source Sans Pro" w:cstheme="minorHAnsi"/>
          <w:color w:val="000000" w:themeColor="text1"/>
          <w:sz w:val="24"/>
          <w:szCs w:val="24"/>
        </w:rPr>
      </w:pPr>
      <w:r w:rsidRPr="003B6547">
        <w:rPr>
          <w:rStyle w:val="eop"/>
          <w:rFonts w:ascii="Source Sans Pro" w:eastAsia="Calibri" w:hAnsi="Source Sans Pro" w:cstheme="minorHAnsi"/>
          <w:color w:val="000000" w:themeColor="text1"/>
          <w:sz w:val="24"/>
          <w:szCs w:val="24"/>
        </w:rPr>
        <w:t>Notes:</w:t>
      </w:r>
    </w:p>
    <w:tbl>
      <w:tblPr>
        <w:tblStyle w:val="TableGrid"/>
        <w:tblW w:w="0" w:type="auto"/>
        <w:tblLook w:val="04A0" w:firstRow="1" w:lastRow="0" w:firstColumn="1" w:lastColumn="0" w:noHBand="0" w:noVBand="1"/>
      </w:tblPr>
      <w:tblGrid>
        <w:gridCol w:w="9350"/>
      </w:tblGrid>
      <w:tr w:rsidR="003B6547" w14:paraId="600AE51A" w14:textId="77777777" w:rsidTr="003B6547">
        <w:trPr>
          <w:trHeight w:val="2880"/>
        </w:trPr>
        <w:tc>
          <w:tcPr>
            <w:tcW w:w="9350" w:type="dxa"/>
            <w:tcBorders>
              <w:top w:val="nil"/>
              <w:left w:val="nil"/>
              <w:bottom w:val="nil"/>
              <w:right w:val="nil"/>
            </w:tcBorders>
          </w:tcPr>
          <w:p w14:paraId="0D3C5EBB"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00BC449A" w14:textId="2850F401" w:rsidR="00546F2D" w:rsidRPr="003B6547" w:rsidRDefault="003B6547" w:rsidP="003B6547">
      <w:pPr>
        <w:spacing w:before="240" w:after="240" w:line="240" w:lineRule="auto"/>
        <w:rPr>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t>RESOURCES</w:t>
      </w:r>
    </w:p>
    <w:p w14:paraId="2BFB0057" w14:textId="57CCD711" w:rsidR="001E7853" w:rsidRPr="003B6547" w:rsidRDefault="001E7853" w:rsidP="001E7853">
      <w:pPr>
        <w:spacing w:before="100" w:beforeAutospacing="1" w:after="240" w:line="240" w:lineRule="auto"/>
        <w:rPr>
          <w:rFonts w:ascii="Source Sans Pro" w:hAnsi="Source Sans Pro" w:cstheme="minorHAnsi"/>
          <w:sz w:val="24"/>
          <w:szCs w:val="24"/>
        </w:rPr>
      </w:pPr>
      <w:r>
        <w:rPr>
          <w:rFonts w:ascii="Source Sans Pro" w:hAnsi="Source Sans Pro" w:cstheme="minorHAnsi"/>
          <w:sz w:val="24"/>
          <w:szCs w:val="24"/>
        </w:rPr>
        <w:t>Notes:</w:t>
      </w:r>
    </w:p>
    <w:tbl>
      <w:tblPr>
        <w:tblStyle w:val="TableGrid"/>
        <w:tblW w:w="0" w:type="auto"/>
        <w:tblLook w:val="04A0" w:firstRow="1" w:lastRow="0" w:firstColumn="1" w:lastColumn="0" w:noHBand="0" w:noVBand="1"/>
      </w:tblPr>
      <w:tblGrid>
        <w:gridCol w:w="9350"/>
      </w:tblGrid>
      <w:tr w:rsidR="003B6547" w14:paraId="4BD3A1C4" w14:textId="77777777" w:rsidTr="00B9781B">
        <w:trPr>
          <w:trHeight w:val="2160"/>
        </w:trPr>
        <w:tc>
          <w:tcPr>
            <w:tcW w:w="9350" w:type="dxa"/>
            <w:tcBorders>
              <w:top w:val="nil"/>
              <w:left w:val="nil"/>
              <w:bottom w:val="nil"/>
              <w:right w:val="nil"/>
            </w:tcBorders>
          </w:tcPr>
          <w:p w14:paraId="0DBAA188"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301412D8" w14:textId="47812912" w:rsidR="00F47F3A" w:rsidRPr="007333D7" w:rsidRDefault="003B6547" w:rsidP="002C2BE0">
      <w:pPr>
        <w:spacing w:before="240"/>
        <w:rPr>
          <w:rFonts w:ascii="Source Sans Pro" w:eastAsia="Calibri" w:hAnsi="Source Sans Pro" w:cstheme="minorHAnsi"/>
          <w:b/>
          <w:bCs/>
          <w:sz w:val="28"/>
          <w:szCs w:val="28"/>
        </w:rPr>
      </w:pPr>
      <w:r>
        <w:rPr>
          <w:rFonts w:ascii="Source Sans Pro" w:eastAsia="Calibri" w:hAnsi="Source Sans Pro" w:cstheme="minorHAnsi"/>
          <w:b/>
          <w:bCs/>
          <w:sz w:val="28"/>
          <w:szCs w:val="28"/>
        </w:rPr>
        <w:t>COURSE REFLECTION</w:t>
      </w:r>
    </w:p>
    <w:p w14:paraId="2F0A0C5D" w14:textId="77777777" w:rsidR="00E124BB" w:rsidRPr="006D03D9" w:rsidRDefault="00E124BB" w:rsidP="006D03D9">
      <w:pPr>
        <w:pStyle w:val="ListParagraph"/>
        <w:numPr>
          <w:ilvl w:val="0"/>
          <w:numId w:val="15"/>
        </w:numPr>
        <w:spacing w:after="240"/>
        <w:rPr>
          <w:rFonts w:ascii="Source Sans Pro" w:eastAsia="Times New Roman" w:hAnsi="Source Sans Pro" w:cstheme="minorHAnsi"/>
          <w:sz w:val="24"/>
          <w:szCs w:val="24"/>
        </w:rPr>
      </w:pPr>
      <w:r w:rsidRPr="006D03D9">
        <w:rPr>
          <w:rFonts w:ascii="Source Sans Pro" w:eastAsia="Times New Roman" w:hAnsi="Source Sans Pro" w:cstheme="minorHAnsi"/>
          <w:sz w:val="24"/>
          <w:szCs w:val="24"/>
        </w:rPr>
        <w:t xml:space="preserve">Think back to the scenario at the beginning. Which of these practices could Mr. Russell incorporate in his planning and instruction to improve student engagement and motivation in literacy learning? </w:t>
      </w:r>
    </w:p>
    <w:tbl>
      <w:tblPr>
        <w:tblStyle w:val="TableGrid"/>
        <w:tblW w:w="0" w:type="auto"/>
        <w:tblLook w:val="04A0" w:firstRow="1" w:lastRow="0" w:firstColumn="1" w:lastColumn="0" w:noHBand="0" w:noVBand="1"/>
      </w:tblPr>
      <w:tblGrid>
        <w:gridCol w:w="9350"/>
      </w:tblGrid>
      <w:tr w:rsidR="00643CB0" w14:paraId="1D16085B" w14:textId="77777777" w:rsidTr="006D03D9">
        <w:trPr>
          <w:trHeight w:val="2880"/>
        </w:trPr>
        <w:tc>
          <w:tcPr>
            <w:tcW w:w="9350" w:type="dxa"/>
            <w:tcBorders>
              <w:top w:val="nil"/>
              <w:left w:val="nil"/>
              <w:bottom w:val="nil"/>
              <w:right w:val="nil"/>
            </w:tcBorders>
          </w:tcPr>
          <w:p w14:paraId="66A32D84" w14:textId="77777777" w:rsidR="00643CB0" w:rsidRDefault="00643CB0" w:rsidP="003B6547">
            <w:pPr>
              <w:spacing w:before="100" w:beforeAutospacing="1" w:after="240"/>
              <w:rPr>
                <w:rFonts w:ascii="Source Sans Pro" w:eastAsia="Times New Roman" w:hAnsi="Source Sans Pro" w:cstheme="minorHAnsi"/>
                <w:sz w:val="24"/>
                <w:szCs w:val="24"/>
              </w:rPr>
            </w:pPr>
          </w:p>
        </w:tc>
      </w:tr>
    </w:tbl>
    <w:p w14:paraId="2F26CBFD" w14:textId="77777777" w:rsidR="00E124BB" w:rsidRPr="006D03D9" w:rsidRDefault="00E124BB" w:rsidP="006D03D9">
      <w:pPr>
        <w:pStyle w:val="ListParagraph"/>
        <w:numPr>
          <w:ilvl w:val="0"/>
          <w:numId w:val="15"/>
        </w:numPr>
        <w:spacing w:before="100" w:beforeAutospacing="1" w:after="240"/>
        <w:rPr>
          <w:rFonts w:ascii="Source Sans Pro" w:eastAsia="Times New Roman" w:hAnsi="Source Sans Pro" w:cstheme="minorHAnsi"/>
          <w:sz w:val="24"/>
          <w:szCs w:val="24"/>
        </w:rPr>
      </w:pPr>
      <w:r w:rsidRPr="006D03D9">
        <w:rPr>
          <w:rFonts w:ascii="Source Sans Pro" w:eastAsia="Times New Roman" w:hAnsi="Source Sans Pro" w:cstheme="minorHAnsi"/>
          <w:sz w:val="24"/>
          <w:szCs w:val="24"/>
        </w:rPr>
        <w:lastRenderedPageBreak/>
        <w:t xml:space="preserve">What is a practice or recommendation you could embed in your classroom practice to increase student engagement and motivation in literacy learning in your content area? </w:t>
      </w:r>
    </w:p>
    <w:tbl>
      <w:tblPr>
        <w:tblStyle w:val="TableGrid"/>
        <w:tblW w:w="0" w:type="auto"/>
        <w:tblLook w:val="04A0" w:firstRow="1" w:lastRow="0" w:firstColumn="1" w:lastColumn="0" w:noHBand="0" w:noVBand="1"/>
      </w:tblPr>
      <w:tblGrid>
        <w:gridCol w:w="9350"/>
      </w:tblGrid>
      <w:tr w:rsidR="00643CB0" w14:paraId="572D732F" w14:textId="77777777" w:rsidTr="006D03D9">
        <w:trPr>
          <w:trHeight w:val="2880"/>
        </w:trPr>
        <w:tc>
          <w:tcPr>
            <w:tcW w:w="9350" w:type="dxa"/>
            <w:tcBorders>
              <w:top w:val="nil"/>
              <w:left w:val="nil"/>
              <w:bottom w:val="nil"/>
              <w:right w:val="nil"/>
            </w:tcBorders>
          </w:tcPr>
          <w:p w14:paraId="64562099" w14:textId="77777777" w:rsidR="00643CB0" w:rsidRDefault="00643CB0" w:rsidP="003B6547">
            <w:pPr>
              <w:spacing w:before="100" w:beforeAutospacing="1" w:after="240"/>
              <w:rPr>
                <w:rFonts w:ascii="Source Sans Pro" w:eastAsia="Times New Roman" w:hAnsi="Source Sans Pro" w:cstheme="minorHAnsi"/>
                <w:sz w:val="24"/>
                <w:szCs w:val="24"/>
              </w:rPr>
            </w:pPr>
          </w:p>
        </w:tc>
      </w:tr>
    </w:tbl>
    <w:p w14:paraId="2F08CB25" w14:textId="0583524E" w:rsidR="1DF678E4" w:rsidRDefault="009A2538" w:rsidP="009A2538">
      <w:pPr>
        <w:spacing w:before="100" w:beforeAutospacing="1" w:after="240" w:line="240" w:lineRule="auto"/>
        <w:rPr>
          <w:rFonts w:ascii="Source Sans Pro" w:eastAsiaTheme="minorEastAsia" w:hAnsi="Source Sans Pro"/>
          <w:b/>
          <w:bCs/>
          <w:sz w:val="28"/>
          <w:szCs w:val="28"/>
        </w:rPr>
      </w:pPr>
      <w:r>
        <w:rPr>
          <w:rFonts w:ascii="Source Sans Pro" w:eastAsiaTheme="minorEastAsia" w:hAnsi="Source Sans Pro"/>
          <w:b/>
          <w:bCs/>
          <w:sz w:val="28"/>
          <w:szCs w:val="28"/>
        </w:rPr>
        <w:t>RESOURCES LISTED IN THE COURSE</w:t>
      </w:r>
    </w:p>
    <w:p w14:paraId="4FEAD76F" w14:textId="6A1D0973" w:rsidR="00E45F8F" w:rsidRPr="00D11CE2" w:rsidRDefault="00A55EC6" w:rsidP="00D11CE2">
      <w:pPr>
        <w:pStyle w:val="ListParagraph"/>
        <w:numPr>
          <w:ilvl w:val="0"/>
          <w:numId w:val="16"/>
        </w:numPr>
        <w:spacing w:before="100" w:beforeAutospacing="1" w:after="240" w:line="240" w:lineRule="auto"/>
        <w:contextualSpacing w:val="0"/>
        <w:rPr>
          <w:rFonts w:ascii="Source Sans Pro" w:hAnsi="Source Sans Pro"/>
          <w:sz w:val="24"/>
          <w:szCs w:val="24"/>
        </w:rPr>
      </w:pPr>
      <w:hyperlink r:id="rId10" w:history="1">
        <w:r w:rsidR="00E45F8F" w:rsidRPr="00D11CE2">
          <w:rPr>
            <w:rStyle w:val="Hyperlink"/>
            <w:rFonts w:ascii="Source Sans Pro" w:hAnsi="Source Sans Pro"/>
            <w:sz w:val="24"/>
            <w:szCs w:val="24"/>
          </w:rPr>
          <w:t>Reading Motivation: What the Research Says</w:t>
        </w:r>
      </w:hyperlink>
      <w:r w:rsidR="00E45F8F" w:rsidRPr="00D11CE2">
        <w:rPr>
          <w:rFonts w:ascii="Source Sans Pro" w:hAnsi="Source Sans Pro"/>
          <w:sz w:val="24"/>
          <w:szCs w:val="24"/>
        </w:rPr>
        <w:t xml:space="preserve"> by Linda Gabrell and Barbara Marinak, presents a clear picture of the role that motivation plays in student success and why careful attention to this factor by educators is important.</w:t>
      </w:r>
    </w:p>
    <w:p w14:paraId="7F578E78" w14:textId="01A7902C" w:rsidR="00E45F8F" w:rsidRPr="00D11CE2" w:rsidRDefault="00E45F8F" w:rsidP="00D11CE2">
      <w:pPr>
        <w:pStyle w:val="ListParagraph"/>
        <w:numPr>
          <w:ilvl w:val="0"/>
          <w:numId w:val="16"/>
        </w:numPr>
        <w:spacing w:before="100" w:beforeAutospacing="1" w:after="240" w:line="240" w:lineRule="auto"/>
        <w:contextualSpacing w:val="0"/>
        <w:rPr>
          <w:rFonts w:ascii="Source Sans Pro" w:hAnsi="Source Sans Pro"/>
          <w:sz w:val="24"/>
          <w:szCs w:val="24"/>
        </w:rPr>
      </w:pPr>
      <w:r w:rsidRPr="00D11CE2">
        <w:rPr>
          <w:rFonts w:ascii="Source Sans Pro" w:hAnsi="Source Sans Pro"/>
          <w:sz w:val="24"/>
          <w:szCs w:val="24"/>
        </w:rPr>
        <w:t xml:space="preserve">The </w:t>
      </w:r>
      <w:hyperlink r:id="rId11" w:history="1">
        <w:r w:rsidRPr="00D11CE2">
          <w:rPr>
            <w:rStyle w:val="Hyperlink"/>
            <w:rFonts w:ascii="Source Sans Pro" w:hAnsi="Source Sans Pro"/>
            <w:sz w:val="24"/>
            <w:szCs w:val="24"/>
          </w:rPr>
          <w:t>IES Practice Guide on Improving Adolescent Literacy</w:t>
        </w:r>
      </w:hyperlink>
      <w:r w:rsidRPr="00D11CE2">
        <w:rPr>
          <w:rFonts w:ascii="Source Sans Pro" w:hAnsi="Source Sans Pro"/>
          <w:sz w:val="24"/>
          <w:szCs w:val="24"/>
        </w:rPr>
        <w:t xml:space="preserve"> provides more detailed information on carrying out the recommendation to increase student motivation and engagement in literacy learning.</w:t>
      </w:r>
    </w:p>
    <w:p w14:paraId="5D0186EE" w14:textId="5650EEF7" w:rsidR="00E45F8F" w:rsidRPr="00D11CE2" w:rsidRDefault="00E45F8F" w:rsidP="00D11CE2">
      <w:pPr>
        <w:pStyle w:val="ListParagraph"/>
        <w:numPr>
          <w:ilvl w:val="0"/>
          <w:numId w:val="16"/>
        </w:numPr>
        <w:spacing w:before="100" w:beforeAutospacing="1" w:after="240" w:line="240" w:lineRule="auto"/>
        <w:contextualSpacing w:val="0"/>
        <w:rPr>
          <w:rFonts w:ascii="Source Sans Pro" w:hAnsi="Source Sans Pro"/>
          <w:sz w:val="24"/>
          <w:szCs w:val="24"/>
        </w:rPr>
      </w:pPr>
      <w:r w:rsidRPr="00D11CE2">
        <w:rPr>
          <w:rFonts w:ascii="Source Sans Pro" w:hAnsi="Source Sans Pro"/>
          <w:sz w:val="24"/>
          <w:szCs w:val="24"/>
        </w:rPr>
        <w:t xml:space="preserve">The article, </w:t>
      </w:r>
      <w:hyperlink r:id="rId12" w:history="1">
        <w:r w:rsidRPr="00D11CE2">
          <w:rPr>
            <w:rStyle w:val="Hyperlink"/>
            <w:rFonts w:ascii="Source Sans Pro" w:hAnsi="Source Sans Pro"/>
            <w:sz w:val="24"/>
            <w:szCs w:val="24"/>
          </w:rPr>
          <w:t>Students’ Engagement in Literacy Tasks</w:t>
        </w:r>
      </w:hyperlink>
      <w:r w:rsidRPr="00D11CE2">
        <w:rPr>
          <w:rFonts w:ascii="Source Sans Pro" w:hAnsi="Source Sans Pro"/>
          <w:sz w:val="24"/>
          <w:szCs w:val="24"/>
        </w:rPr>
        <w:t xml:space="preserve"> (The Reading Teacher, 2015), digs deeper into designing literacy instruction that is engaging for students.</w:t>
      </w:r>
    </w:p>
    <w:p w14:paraId="08EEE443" w14:textId="0D2E879F" w:rsidR="009A2538" w:rsidRPr="00D11CE2" w:rsidRDefault="00D11CE2" w:rsidP="00D11CE2">
      <w:pPr>
        <w:pStyle w:val="ListParagraph"/>
        <w:numPr>
          <w:ilvl w:val="0"/>
          <w:numId w:val="16"/>
        </w:numPr>
        <w:spacing w:before="100" w:beforeAutospacing="1" w:after="240" w:line="240" w:lineRule="auto"/>
        <w:contextualSpacing w:val="0"/>
        <w:rPr>
          <w:rFonts w:ascii="Source Sans Pro" w:hAnsi="Source Sans Pro"/>
          <w:sz w:val="24"/>
          <w:szCs w:val="24"/>
        </w:rPr>
      </w:pPr>
      <w:hyperlink r:id="rId13" w:history="1">
        <w:r w:rsidR="00E45F8F" w:rsidRPr="00D11CE2">
          <w:rPr>
            <w:rStyle w:val="Hyperlink"/>
            <w:rFonts w:ascii="Source Sans Pro" w:hAnsi="Source Sans Pro"/>
            <w:sz w:val="24"/>
            <w:szCs w:val="24"/>
          </w:rPr>
          <w:t>Motivating Struggling Adolescent Readers</w:t>
        </w:r>
      </w:hyperlink>
      <w:r w:rsidR="00E45F8F" w:rsidRPr="00D11CE2">
        <w:rPr>
          <w:rFonts w:ascii="Source Sans Pro" w:hAnsi="Source Sans Pro"/>
          <w:sz w:val="24"/>
          <w:szCs w:val="24"/>
        </w:rPr>
        <w:t xml:space="preserve"> provides specific recommendations to support unmotivated adolescents and build students’ self-confidence</w:t>
      </w:r>
      <w:r w:rsidR="00E45F8F" w:rsidRPr="00D11CE2">
        <w:rPr>
          <w:rFonts w:ascii="Source Sans Pro" w:hAnsi="Source Sans Pro"/>
          <w:sz w:val="24"/>
          <w:szCs w:val="24"/>
        </w:rPr>
        <w:t>.</w:t>
      </w:r>
    </w:p>
    <w:sectPr w:rsidR="009A2538" w:rsidRPr="00D11CE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B74DD" w14:textId="77777777" w:rsidR="00A041A1" w:rsidRDefault="00A041A1" w:rsidP="00B941B7">
      <w:pPr>
        <w:spacing w:after="0" w:line="240" w:lineRule="auto"/>
      </w:pPr>
      <w:r>
        <w:separator/>
      </w:r>
    </w:p>
  </w:endnote>
  <w:endnote w:type="continuationSeparator" w:id="0">
    <w:p w14:paraId="465D66D7" w14:textId="77777777" w:rsidR="00A041A1" w:rsidRDefault="00A041A1" w:rsidP="00B941B7">
      <w:pPr>
        <w:spacing w:after="0" w:line="240" w:lineRule="auto"/>
      </w:pPr>
      <w:r>
        <w:continuationSeparator/>
      </w:r>
    </w:p>
  </w:endnote>
  <w:endnote w:type="continuationNotice" w:id="1">
    <w:p w14:paraId="786BBC13" w14:textId="77777777" w:rsidR="00A041A1" w:rsidRDefault="00A04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C79F2" w14:textId="77777777" w:rsidR="00A041A1" w:rsidRDefault="00A041A1" w:rsidP="00B941B7">
      <w:pPr>
        <w:spacing w:after="0" w:line="240" w:lineRule="auto"/>
      </w:pPr>
      <w:r>
        <w:separator/>
      </w:r>
    </w:p>
  </w:footnote>
  <w:footnote w:type="continuationSeparator" w:id="0">
    <w:p w14:paraId="5C76EA63" w14:textId="77777777" w:rsidR="00A041A1" w:rsidRDefault="00A041A1" w:rsidP="00B941B7">
      <w:pPr>
        <w:spacing w:after="0" w:line="240" w:lineRule="auto"/>
      </w:pPr>
      <w:r>
        <w:continuationSeparator/>
      </w:r>
    </w:p>
  </w:footnote>
  <w:footnote w:type="continuationNotice" w:id="1">
    <w:p w14:paraId="0C1D08F3" w14:textId="77777777" w:rsidR="00A041A1" w:rsidRDefault="00A04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8AED" w14:textId="00095927" w:rsidR="00B941B7" w:rsidRDefault="004F0944" w:rsidP="003441C8">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C9C"/>
    <w:multiLevelType w:val="hybridMultilevel"/>
    <w:tmpl w:val="FF3A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32616"/>
    <w:multiLevelType w:val="multilevel"/>
    <w:tmpl w:val="C006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53D7A"/>
    <w:multiLevelType w:val="hybridMultilevel"/>
    <w:tmpl w:val="70C8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408FD"/>
    <w:multiLevelType w:val="hybridMultilevel"/>
    <w:tmpl w:val="160E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F67A9"/>
    <w:multiLevelType w:val="hybridMultilevel"/>
    <w:tmpl w:val="3574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52173"/>
    <w:multiLevelType w:val="hybridMultilevel"/>
    <w:tmpl w:val="D8420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35619D"/>
    <w:multiLevelType w:val="hybridMultilevel"/>
    <w:tmpl w:val="BA3AC6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0A088C"/>
    <w:multiLevelType w:val="hybridMultilevel"/>
    <w:tmpl w:val="CB4A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C6C54"/>
    <w:multiLevelType w:val="multilevel"/>
    <w:tmpl w:val="2C5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448AE"/>
    <w:multiLevelType w:val="hybridMultilevel"/>
    <w:tmpl w:val="054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54483"/>
    <w:multiLevelType w:val="multilevel"/>
    <w:tmpl w:val="3AF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2E76F3"/>
    <w:multiLevelType w:val="hybridMultilevel"/>
    <w:tmpl w:val="23E8C3EC"/>
    <w:lvl w:ilvl="0" w:tplc="BE80D95C">
      <w:start w:val="1"/>
      <w:numFmt w:val="bullet"/>
      <w:lvlText w:val=""/>
      <w:lvlJc w:val="left"/>
      <w:pPr>
        <w:ind w:left="360" w:hanging="360"/>
      </w:pPr>
      <w:rPr>
        <w:rFonts w:ascii="Symbol" w:hAnsi="Symbol" w:hint="default"/>
      </w:rPr>
    </w:lvl>
    <w:lvl w:ilvl="1" w:tplc="4C62B9C6">
      <w:start w:val="1"/>
      <w:numFmt w:val="bullet"/>
      <w:lvlText w:val="o"/>
      <w:lvlJc w:val="left"/>
      <w:pPr>
        <w:ind w:left="1080" w:hanging="360"/>
      </w:pPr>
      <w:rPr>
        <w:rFonts w:ascii="Courier New" w:hAnsi="Courier New" w:hint="default"/>
      </w:rPr>
    </w:lvl>
    <w:lvl w:ilvl="2" w:tplc="643CA72C">
      <w:start w:val="1"/>
      <w:numFmt w:val="bullet"/>
      <w:lvlText w:val=""/>
      <w:lvlJc w:val="left"/>
      <w:pPr>
        <w:ind w:left="1800" w:hanging="360"/>
      </w:pPr>
      <w:rPr>
        <w:rFonts w:ascii="Wingdings" w:hAnsi="Wingdings" w:hint="default"/>
      </w:rPr>
    </w:lvl>
    <w:lvl w:ilvl="3" w:tplc="D8DE4338">
      <w:start w:val="1"/>
      <w:numFmt w:val="bullet"/>
      <w:lvlText w:val=""/>
      <w:lvlJc w:val="left"/>
      <w:pPr>
        <w:ind w:left="2520" w:hanging="360"/>
      </w:pPr>
      <w:rPr>
        <w:rFonts w:ascii="Symbol" w:hAnsi="Symbol" w:hint="default"/>
      </w:rPr>
    </w:lvl>
    <w:lvl w:ilvl="4" w:tplc="15E42B78">
      <w:start w:val="1"/>
      <w:numFmt w:val="bullet"/>
      <w:lvlText w:val="o"/>
      <w:lvlJc w:val="left"/>
      <w:pPr>
        <w:ind w:left="3240" w:hanging="360"/>
      </w:pPr>
      <w:rPr>
        <w:rFonts w:ascii="Courier New" w:hAnsi="Courier New" w:hint="default"/>
      </w:rPr>
    </w:lvl>
    <w:lvl w:ilvl="5" w:tplc="168672F8">
      <w:start w:val="1"/>
      <w:numFmt w:val="bullet"/>
      <w:lvlText w:val=""/>
      <w:lvlJc w:val="left"/>
      <w:pPr>
        <w:ind w:left="3960" w:hanging="360"/>
      </w:pPr>
      <w:rPr>
        <w:rFonts w:ascii="Wingdings" w:hAnsi="Wingdings" w:hint="default"/>
      </w:rPr>
    </w:lvl>
    <w:lvl w:ilvl="6" w:tplc="EE109C7A">
      <w:start w:val="1"/>
      <w:numFmt w:val="bullet"/>
      <w:lvlText w:val=""/>
      <w:lvlJc w:val="left"/>
      <w:pPr>
        <w:ind w:left="4680" w:hanging="360"/>
      </w:pPr>
      <w:rPr>
        <w:rFonts w:ascii="Symbol" w:hAnsi="Symbol" w:hint="default"/>
      </w:rPr>
    </w:lvl>
    <w:lvl w:ilvl="7" w:tplc="736686E4">
      <w:start w:val="1"/>
      <w:numFmt w:val="bullet"/>
      <w:lvlText w:val="o"/>
      <w:lvlJc w:val="left"/>
      <w:pPr>
        <w:ind w:left="5400" w:hanging="360"/>
      </w:pPr>
      <w:rPr>
        <w:rFonts w:ascii="Courier New" w:hAnsi="Courier New" w:hint="default"/>
      </w:rPr>
    </w:lvl>
    <w:lvl w:ilvl="8" w:tplc="3F980A34">
      <w:start w:val="1"/>
      <w:numFmt w:val="bullet"/>
      <w:lvlText w:val=""/>
      <w:lvlJc w:val="left"/>
      <w:pPr>
        <w:ind w:left="6120" w:hanging="360"/>
      </w:pPr>
      <w:rPr>
        <w:rFonts w:ascii="Wingdings" w:hAnsi="Wingdings" w:hint="default"/>
      </w:rPr>
    </w:lvl>
  </w:abstractNum>
  <w:abstractNum w:abstractNumId="12" w15:restartNumberingAfterBreak="0">
    <w:nsid w:val="70E84AC5"/>
    <w:multiLevelType w:val="hybridMultilevel"/>
    <w:tmpl w:val="55CC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27EC3"/>
    <w:multiLevelType w:val="hybridMultilevel"/>
    <w:tmpl w:val="CA5C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02C0"/>
    <w:multiLevelType w:val="hybridMultilevel"/>
    <w:tmpl w:val="83C8F37E"/>
    <w:lvl w:ilvl="0" w:tplc="C284BA00">
      <w:start w:val="1"/>
      <w:numFmt w:val="bullet"/>
      <w:lvlText w:val=""/>
      <w:lvlJc w:val="left"/>
      <w:pPr>
        <w:ind w:left="720" w:hanging="360"/>
      </w:pPr>
      <w:rPr>
        <w:rFonts w:ascii="Symbol" w:hAnsi="Symbol" w:hint="default"/>
      </w:rPr>
    </w:lvl>
    <w:lvl w:ilvl="1" w:tplc="0DF612A6">
      <w:start w:val="1"/>
      <w:numFmt w:val="bullet"/>
      <w:lvlText w:val="o"/>
      <w:lvlJc w:val="left"/>
      <w:pPr>
        <w:ind w:left="1440" w:hanging="360"/>
      </w:pPr>
      <w:rPr>
        <w:rFonts w:ascii="Courier New" w:hAnsi="Courier New" w:hint="default"/>
      </w:rPr>
    </w:lvl>
    <w:lvl w:ilvl="2" w:tplc="DE76F29A">
      <w:start w:val="1"/>
      <w:numFmt w:val="bullet"/>
      <w:lvlText w:val=""/>
      <w:lvlJc w:val="left"/>
      <w:pPr>
        <w:ind w:left="2160" w:hanging="360"/>
      </w:pPr>
      <w:rPr>
        <w:rFonts w:ascii="Wingdings" w:hAnsi="Wingdings" w:hint="default"/>
      </w:rPr>
    </w:lvl>
    <w:lvl w:ilvl="3" w:tplc="86920C66">
      <w:start w:val="1"/>
      <w:numFmt w:val="bullet"/>
      <w:lvlText w:val=""/>
      <w:lvlJc w:val="left"/>
      <w:pPr>
        <w:ind w:left="2880" w:hanging="360"/>
      </w:pPr>
      <w:rPr>
        <w:rFonts w:ascii="Symbol" w:hAnsi="Symbol" w:hint="default"/>
      </w:rPr>
    </w:lvl>
    <w:lvl w:ilvl="4" w:tplc="F3D27C00">
      <w:start w:val="1"/>
      <w:numFmt w:val="bullet"/>
      <w:lvlText w:val="o"/>
      <w:lvlJc w:val="left"/>
      <w:pPr>
        <w:ind w:left="3600" w:hanging="360"/>
      </w:pPr>
      <w:rPr>
        <w:rFonts w:ascii="Courier New" w:hAnsi="Courier New" w:hint="default"/>
      </w:rPr>
    </w:lvl>
    <w:lvl w:ilvl="5" w:tplc="7B107F44">
      <w:start w:val="1"/>
      <w:numFmt w:val="bullet"/>
      <w:lvlText w:val=""/>
      <w:lvlJc w:val="left"/>
      <w:pPr>
        <w:ind w:left="4320" w:hanging="360"/>
      </w:pPr>
      <w:rPr>
        <w:rFonts w:ascii="Wingdings" w:hAnsi="Wingdings" w:hint="default"/>
      </w:rPr>
    </w:lvl>
    <w:lvl w:ilvl="6" w:tplc="D2EE99A8">
      <w:start w:val="1"/>
      <w:numFmt w:val="bullet"/>
      <w:lvlText w:val=""/>
      <w:lvlJc w:val="left"/>
      <w:pPr>
        <w:ind w:left="5040" w:hanging="360"/>
      </w:pPr>
      <w:rPr>
        <w:rFonts w:ascii="Symbol" w:hAnsi="Symbol" w:hint="default"/>
      </w:rPr>
    </w:lvl>
    <w:lvl w:ilvl="7" w:tplc="5BAC4C6E">
      <w:start w:val="1"/>
      <w:numFmt w:val="bullet"/>
      <w:lvlText w:val="o"/>
      <w:lvlJc w:val="left"/>
      <w:pPr>
        <w:ind w:left="5760" w:hanging="360"/>
      </w:pPr>
      <w:rPr>
        <w:rFonts w:ascii="Courier New" w:hAnsi="Courier New" w:hint="default"/>
      </w:rPr>
    </w:lvl>
    <w:lvl w:ilvl="8" w:tplc="744033EA">
      <w:start w:val="1"/>
      <w:numFmt w:val="bullet"/>
      <w:lvlText w:val=""/>
      <w:lvlJc w:val="left"/>
      <w:pPr>
        <w:ind w:left="6480" w:hanging="360"/>
      </w:pPr>
      <w:rPr>
        <w:rFonts w:ascii="Wingdings" w:hAnsi="Wingdings" w:hint="default"/>
      </w:rPr>
    </w:lvl>
  </w:abstractNum>
  <w:abstractNum w:abstractNumId="15" w15:restartNumberingAfterBreak="0">
    <w:nsid w:val="7F454054"/>
    <w:multiLevelType w:val="hybridMultilevel"/>
    <w:tmpl w:val="BDB8BF2A"/>
    <w:lvl w:ilvl="0" w:tplc="2D6C13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476109">
    <w:abstractNumId w:val="14"/>
  </w:num>
  <w:num w:numId="2" w16cid:durableId="375349789">
    <w:abstractNumId w:val="15"/>
  </w:num>
  <w:num w:numId="3" w16cid:durableId="465202193">
    <w:abstractNumId w:val="11"/>
  </w:num>
  <w:num w:numId="4" w16cid:durableId="1429812816">
    <w:abstractNumId w:val="10"/>
  </w:num>
  <w:num w:numId="5" w16cid:durableId="647319162">
    <w:abstractNumId w:val="8"/>
  </w:num>
  <w:num w:numId="6" w16cid:durableId="1103187520">
    <w:abstractNumId w:val="1"/>
  </w:num>
  <w:num w:numId="7" w16cid:durableId="819806830">
    <w:abstractNumId w:val="5"/>
  </w:num>
  <w:num w:numId="8" w16cid:durableId="1376469197">
    <w:abstractNumId w:val="7"/>
  </w:num>
  <w:num w:numId="9" w16cid:durableId="134493270">
    <w:abstractNumId w:val="2"/>
  </w:num>
  <w:num w:numId="10" w16cid:durableId="261228276">
    <w:abstractNumId w:val="9"/>
  </w:num>
  <w:num w:numId="11" w16cid:durableId="1095784023">
    <w:abstractNumId w:val="4"/>
  </w:num>
  <w:num w:numId="12" w16cid:durableId="1248926547">
    <w:abstractNumId w:val="13"/>
  </w:num>
  <w:num w:numId="13" w16cid:durableId="957613025">
    <w:abstractNumId w:val="12"/>
  </w:num>
  <w:num w:numId="14" w16cid:durableId="269699940">
    <w:abstractNumId w:val="6"/>
  </w:num>
  <w:num w:numId="15" w16cid:durableId="258026992">
    <w:abstractNumId w:val="0"/>
  </w:num>
  <w:num w:numId="16" w16cid:durableId="778184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40C86"/>
    <w:rsid w:val="000612C8"/>
    <w:rsid w:val="000B07BB"/>
    <w:rsid w:val="000B26D5"/>
    <w:rsid w:val="000B6950"/>
    <w:rsid w:val="000D10BD"/>
    <w:rsid w:val="000E6B14"/>
    <w:rsid w:val="000F0D56"/>
    <w:rsid w:val="0011025D"/>
    <w:rsid w:val="00121DBD"/>
    <w:rsid w:val="00126D4D"/>
    <w:rsid w:val="001843C0"/>
    <w:rsid w:val="001A5BEC"/>
    <w:rsid w:val="001A6827"/>
    <w:rsid w:val="001D4CB7"/>
    <w:rsid w:val="001E3BB3"/>
    <w:rsid w:val="001E7853"/>
    <w:rsid w:val="001F54AD"/>
    <w:rsid w:val="00221260"/>
    <w:rsid w:val="00250A05"/>
    <w:rsid w:val="002808DD"/>
    <w:rsid w:val="00283015"/>
    <w:rsid w:val="002901FC"/>
    <w:rsid w:val="0029399A"/>
    <w:rsid w:val="002A1022"/>
    <w:rsid w:val="002A2925"/>
    <w:rsid w:val="002B77D7"/>
    <w:rsid w:val="002B7D49"/>
    <w:rsid w:val="002C2BE0"/>
    <w:rsid w:val="002D0D64"/>
    <w:rsid w:val="002F5021"/>
    <w:rsid w:val="00300CD7"/>
    <w:rsid w:val="00305CAC"/>
    <w:rsid w:val="00315EC9"/>
    <w:rsid w:val="003441C8"/>
    <w:rsid w:val="00344430"/>
    <w:rsid w:val="00351C8B"/>
    <w:rsid w:val="003847E9"/>
    <w:rsid w:val="003B6547"/>
    <w:rsid w:val="003C1751"/>
    <w:rsid w:val="003C333F"/>
    <w:rsid w:val="003C4C0C"/>
    <w:rsid w:val="00411115"/>
    <w:rsid w:val="004426DF"/>
    <w:rsid w:val="00472D56"/>
    <w:rsid w:val="004F0944"/>
    <w:rsid w:val="004F78E2"/>
    <w:rsid w:val="0050469A"/>
    <w:rsid w:val="00546F2D"/>
    <w:rsid w:val="00554AE1"/>
    <w:rsid w:val="005836D8"/>
    <w:rsid w:val="005F730C"/>
    <w:rsid w:val="00607037"/>
    <w:rsid w:val="00616562"/>
    <w:rsid w:val="00643CB0"/>
    <w:rsid w:val="006552EA"/>
    <w:rsid w:val="006575D8"/>
    <w:rsid w:val="00666F35"/>
    <w:rsid w:val="0066704F"/>
    <w:rsid w:val="006705EB"/>
    <w:rsid w:val="006B1181"/>
    <w:rsid w:val="006D03D9"/>
    <w:rsid w:val="00701FD9"/>
    <w:rsid w:val="00710471"/>
    <w:rsid w:val="00717049"/>
    <w:rsid w:val="0072007A"/>
    <w:rsid w:val="00723C5E"/>
    <w:rsid w:val="007333D7"/>
    <w:rsid w:val="00750062"/>
    <w:rsid w:val="00770236"/>
    <w:rsid w:val="00770434"/>
    <w:rsid w:val="007726F2"/>
    <w:rsid w:val="00790728"/>
    <w:rsid w:val="007A31A9"/>
    <w:rsid w:val="007B39B5"/>
    <w:rsid w:val="007D5536"/>
    <w:rsid w:val="00804540"/>
    <w:rsid w:val="00805A2B"/>
    <w:rsid w:val="00813546"/>
    <w:rsid w:val="008141E6"/>
    <w:rsid w:val="00847AD6"/>
    <w:rsid w:val="00882159"/>
    <w:rsid w:val="008B213B"/>
    <w:rsid w:val="008D5A4B"/>
    <w:rsid w:val="008E4866"/>
    <w:rsid w:val="008F3A26"/>
    <w:rsid w:val="00960FF4"/>
    <w:rsid w:val="00966866"/>
    <w:rsid w:val="009854AD"/>
    <w:rsid w:val="009A2538"/>
    <w:rsid w:val="009B42E1"/>
    <w:rsid w:val="00A0268F"/>
    <w:rsid w:val="00A041A1"/>
    <w:rsid w:val="00A55EC6"/>
    <w:rsid w:val="00A95070"/>
    <w:rsid w:val="00AB0272"/>
    <w:rsid w:val="00AD4D79"/>
    <w:rsid w:val="00AE10F8"/>
    <w:rsid w:val="00B20654"/>
    <w:rsid w:val="00B40557"/>
    <w:rsid w:val="00B409C1"/>
    <w:rsid w:val="00B57268"/>
    <w:rsid w:val="00B61CAF"/>
    <w:rsid w:val="00B65320"/>
    <w:rsid w:val="00B835D7"/>
    <w:rsid w:val="00B92D3A"/>
    <w:rsid w:val="00B941B7"/>
    <w:rsid w:val="00B9781B"/>
    <w:rsid w:val="00BA3DB8"/>
    <w:rsid w:val="00BC13AF"/>
    <w:rsid w:val="00BC1F22"/>
    <w:rsid w:val="00BC493B"/>
    <w:rsid w:val="00BE313B"/>
    <w:rsid w:val="00C01FEA"/>
    <w:rsid w:val="00C36C6C"/>
    <w:rsid w:val="00C3736E"/>
    <w:rsid w:val="00C40A7F"/>
    <w:rsid w:val="00C853F7"/>
    <w:rsid w:val="00CA33A3"/>
    <w:rsid w:val="00CB7F7E"/>
    <w:rsid w:val="00CD0305"/>
    <w:rsid w:val="00CF2B5F"/>
    <w:rsid w:val="00D11CE2"/>
    <w:rsid w:val="00D12A32"/>
    <w:rsid w:val="00D12DB9"/>
    <w:rsid w:val="00D24036"/>
    <w:rsid w:val="00D51C75"/>
    <w:rsid w:val="00D524F1"/>
    <w:rsid w:val="00D80266"/>
    <w:rsid w:val="00D8634C"/>
    <w:rsid w:val="00D9743A"/>
    <w:rsid w:val="00DA2C40"/>
    <w:rsid w:val="00DB2720"/>
    <w:rsid w:val="00DD1B10"/>
    <w:rsid w:val="00DE196E"/>
    <w:rsid w:val="00DE620C"/>
    <w:rsid w:val="00E124BB"/>
    <w:rsid w:val="00E45F8F"/>
    <w:rsid w:val="00E81BB0"/>
    <w:rsid w:val="00EA5588"/>
    <w:rsid w:val="00EB0445"/>
    <w:rsid w:val="00EC38D8"/>
    <w:rsid w:val="00EE0B16"/>
    <w:rsid w:val="00EE144A"/>
    <w:rsid w:val="00EF45EC"/>
    <w:rsid w:val="00F01F1D"/>
    <w:rsid w:val="00F16CCE"/>
    <w:rsid w:val="00F220DD"/>
    <w:rsid w:val="00F44A5B"/>
    <w:rsid w:val="00F47F3A"/>
    <w:rsid w:val="00F9704F"/>
    <w:rsid w:val="00FA1080"/>
    <w:rsid w:val="00FD59FF"/>
    <w:rsid w:val="00FE0028"/>
    <w:rsid w:val="00FF549F"/>
    <w:rsid w:val="0143139F"/>
    <w:rsid w:val="0AE460FA"/>
    <w:rsid w:val="0FB7D21D"/>
    <w:rsid w:val="1DF678E4"/>
    <w:rsid w:val="326C7575"/>
    <w:rsid w:val="488D9554"/>
    <w:rsid w:val="54B3FA06"/>
    <w:rsid w:val="6C3113FE"/>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FB7D21D"/>
  </w:style>
  <w:style w:type="character" w:customStyle="1" w:styleId="eop">
    <w:name w:val="eop"/>
    <w:basedOn w:val="DefaultParagraphFont"/>
    <w:rsid w:val="0FB7D21D"/>
  </w:style>
  <w:style w:type="paragraph" w:customStyle="1" w:styleId="paragraph">
    <w:name w:val="paragraph"/>
    <w:basedOn w:val="Normal"/>
    <w:rsid w:val="0FB7D21D"/>
    <w:pPr>
      <w:spacing w:beforeAutospacing="1"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B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lit.org/topics/motivation-and-engagement/motivating-reluctant-adolescent-read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searchgate.net/publication/276355063_Students'_Engagement_in_Literacy_Tas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s.ed.gov/ncee/wwc/docs/practiceguide/adlit_pg_082608.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adingrockets.org/topics/motivation/articles/reading-motivation-what-research-sa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46F2E1-98DC-4366-B63B-62B278A17782}"/>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Links>
    <vt:vector size="54" baseType="variant">
      <vt:variant>
        <vt:i4>2293870</vt:i4>
      </vt:variant>
      <vt:variant>
        <vt:i4>24</vt:i4>
      </vt:variant>
      <vt:variant>
        <vt:i4>0</vt:i4>
      </vt:variant>
      <vt:variant>
        <vt:i4>5</vt:i4>
      </vt:variant>
      <vt:variant>
        <vt:lpwstr>https://www.serpinstitute.org/wordgen-weekly/academic-language</vt:lpwstr>
      </vt:variant>
      <vt:variant>
        <vt:lpwstr/>
      </vt:variant>
      <vt:variant>
        <vt:i4>65604</vt:i4>
      </vt:variant>
      <vt:variant>
        <vt:i4>21</vt:i4>
      </vt:variant>
      <vt:variant>
        <vt:i4>0</vt:i4>
      </vt:variant>
      <vt:variant>
        <vt:i4>5</vt:i4>
      </vt:variant>
      <vt:variant>
        <vt:lpwstr>https://ohiodas.sharepoint.com/sites/ComprehensiveLiteracyStateDevelopmentGrant/Shared Documents/State Activities/Literacy Academy on Demand/Course Development/6-12/8 Strategies for Teaching Academic Language</vt:lpwstr>
      </vt:variant>
      <vt:variant>
        <vt:lpwstr/>
      </vt:variant>
      <vt:variant>
        <vt:i4>6815746</vt:i4>
      </vt:variant>
      <vt:variant>
        <vt:i4>18</vt:i4>
      </vt:variant>
      <vt:variant>
        <vt:i4>0</vt:i4>
      </vt:variant>
      <vt:variant>
        <vt:i4>5</vt:i4>
      </vt:variant>
      <vt:variant>
        <vt:lpwstr>https://education.ohio.gov/getattachment/Topics/Learning-in-Ohio/Literacy/Literacy-Academy/Literacy-Academy-On-Demand/Townsend_Who-s-Using-the-Language.pdf</vt:lpwstr>
      </vt:variant>
      <vt:variant>
        <vt:lpwstr/>
      </vt:variant>
      <vt:variant>
        <vt:i4>720978</vt:i4>
      </vt:variant>
      <vt:variant>
        <vt:i4>15</vt:i4>
      </vt:variant>
      <vt:variant>
        <vt:i4>0</vt:i4>
      </vt:variant>
      <vt:variant>
        <vt:i4>5</vt:i4>
      </vt:variant>
      <vt:variant>
        <vt:lpwstr>https://www.readingrockets.org/article/developing-academic-language-got-words</vt:lpwstr>
      </vt:variant>
      <vt:variant>
        <vt:lpwstr/>
      </vt:variant>
      <vt:variant>
        <vt:i4>4587610</vt:i4>
      </vt:variant>
      <vt:variant>
        <vt:i4>12</vt:i4>
      </vt:variant>
      <vt:variant>
        <vt:i4>0</vt:i4>
      </vt:variant>
      <vt:variant>
        <vt:i4>5</vt:i4>
      </vt:variant>
      <vt:variant>
        <vt:lpwstr>https://www.luc.edu/media/lucedu/education/pdfs/languagematters/Nasir - academic talk sentence starters toolkit copy.pdf</vt:lpwstr>
      </vt:variant>
      <vt:variant>
        <vt:lpwstr/>
      </vt:variant>
      <vt:variant>
        <vt:i4>7274531</vt:i4>
      </vt:variant>
      <vt:variant>
        <vt:i4>9</vt:i4>
      </vt:variant>
      <vt:variant>
        <vt:i4>0</vt:i4>
      </vt:variant>
      <vt:variant>
        <vt:i4>5</vt:i4>
      </vt:variant>
      <vt:variant>
        <vt:lpwstr>https://www.learner.org/series/reading-writing-in-the-disciplines/reading-and-analyzing-texts/expanding-academic-language/</vt:lpwstr>
      </vt:variant>
      <vt:variant>
        <vt:lpwstr/>
      </vt:variant>
      <vt:variant>
        <vt:i4>2818165</vt:i4>
      </vt:variant>
      <vt:variant>
        <vt:i4>6</vt:i4>
      </vt:variant>
      <vt:variant>
        <vt:i4>0</vt:i4>
      </vt:variant>
      <vt:variant>
        <vt:i4>5</vt:i4>
      </vt:variant>
      <vt:variant>
        <vt:lpwstr>https://languageforlearning.gse.harvard.edu/core-academic-language</vt:lpwstr>
      </vt:variant>
      <vt:variant>
        <vt:lpwstr/>
      </vt:variant>
      <vt:variant>
        <vt:i4>3997815</vt:i4>
      </vt:variant>
      <vt:variant>
        <vt:i4>3</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
      </vt:variant>
      <vt:variant>
        <vt:i4>852061</vt:i4>
      </vt:variant>
      <vt:variant>
        <vt:i4>0</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Jeremy</dc:creator>
  <cp:keywords/>
  <dc:description/>
  <cp:lastModifiedBy>Diniz de Faria, Jennifer</cp:lastModifiedBy>
  <cp:revision>13</cp:revision>
  <dcterms:created xsi:type="dcterms:W3CDTF">2024-08-20T15:23:00Z</dcterms:created>
  <dcterms:modified xsi:type="dcterms:W3CDTF">2024-08-20T15:34:00Z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