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602D3" w:rsidP="6C6F94F1" w:rsidRDefault="00E602D3" w14:paraId="5D02793D" w14:textId="240D1595">
      <w:pPr>
        <w:pStyle w:val="Normal"/>
        <w:suppressLineNumbers w:val="0"/>
        <w:bidi w:val="0"/>
        <w:spacing w:before="0" w:beforeAutospacing="off" w:after="240" w:afterAutospacing="off" w:line="240" w:lineRule="auto"/>
        <w:ind w:left="0" w:right="0"/>
        <w:jc w:val="center"/>
        <w:rPr>
          <w:rFonts w:ascii="Source Sans Pro" w:hAnsi="Source Sans Pro" w:eastAsia="Calibri" w:cs="Calibri"/>
          <w:b w:val="1"/>
          <w:bCs w:val="1"/>
          <w:color w:val="0E3F75"/>
          <w:sz w:val="48"/>
          <w:szCs w:val="48"/>
        </w:rPr>
      </w:pPr>
      <w:r w:rsidRPr="6C6F94F1" w:rsidR="00E602D3">
        <w:rPr>
          <w:rFonts w:ascii="Source Sans Pro" w:hAnsi="Source Sans Pro" w:eastAsia="Calibri" w:cs="Calibri"/>
          <w:b w:val="1"/>
          <w:bCs w:val="1"/>
          <w:color w:val="0E3F75"/>
          <w:sz w:val="48"/>
          <w:szCs w:val="48"/>
        </w:rPr>
        <w:t xml:space="preserve">Overview: The </w:t>
      </w:r>
      <w:r w:rsidRPr="6C6F94F1" w:rsidR="73ED99EA">
        <w:rPr>
          <w:rFonts w:ascii="Source Sans Pro" w:hAnsi="Source Sans Pro" w:eastAsia="Calibri" w:cs="Calibri"/>
          <w:b w:val="1"/>
          <w:bCs w:val="1"/>
          <w:color w:val="0E3F75"/>
          <w:sz w:val="48"/>
          <w:szCs w:val="48"/>
        </w:rPr>
        <w:t>Simple View of Reading</w:t>
      </w:r>
    </w:p>
    <w:p w:rsidRPr="006575D8" w:rsidR="0050469A" w:rsidP="00351C8B" w:rsidRDefault="00E602D3" w14:paraId="698193BE" w14:textId="6D988FDB">
      <w:pPr>
        <w:spacing w:after="240" w:line="240" w:lineRule="auto"/>
        <w:jc w:val="center"/>
        <w:rPr>
          <w:rFonts w:ascii="Source Sans Pro" w:hAnsi="Source Sans Pro" w:eastAsia="Calibri" w:cs="Calibri"/>
          <w:b/>
          <w:bCs/>
          <w:color w:val="0E3F75"/>
          <w:sz w:val="36"/>
          <w:szCs w:val="36"/>
        </w:rPr>
      </w:pPr>
      <w:r>
        <w:rPr>
          <w:rFonts w:ascii="Source Sans Pro" w:hAnsi="Source Sans Pro" w:eastAsia="Calibri" w:cs="Calibri"/>
          <w:b/>
          <w:bCs/>
          <w:color w:val="0E3F75"/>
          <w:sz w:val="36"/>
          <w:szCs w:val="36"/>
        </w:rPr>
        <w:t>Literacy Academy on Demand</w:t>
      </w:r>
    </w:p>
    <w:p w:rsidR="00221260" w:rsidP="00221260" w:rsidRDefault="00221260" w14:paraId="17C06A13" w14:textId="4BB2248E">
      <w:pPr>
        <w:spacing w:after="240" w:line="240" w:lineRule="auto"/>
        <w:rPr>
          <w:rFonts w:ascii="Source Sans Pro" w:hAnsi="Source Sans Pro" w:eastAsia="Calibri" w:cstheme="minorHAnsi"/>
          <w:color w:val="000000" w:themeColor="text1"/>
          <w:sz w:val="24"/>
          <w:szCs w:val="24"/>
        </w:rPr>
      </w:pPr>
      <w:r w:rsidRPr="00221260">
        <w:rPr>
          <w:rFonts w:ascii="Source Sans Pro" w:hAnsi="Source Sans Pro" w:eastAsia="Calibri"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rsidRPr="003B6547" w:rsidR="00546F2D" w:rsidP="00221260" w:rsidRDefault="003B6547" w14:paraId="5D7C7C1E" w14:textId="61912189">
      <w:pPr>
        <w:spacing w:after="240" w:line="240" w:lineRule="auto"/>
        <w:rPr>
          <w:rStyle w:val="normaltextrun"/>
          <w:rFonts w:ascii="Source Sans Pro" w:hAnsi="Source Sans Pro" w:eastAsia="Calibri" w:cstheme="minorHAnsi"/>
          <w:b/>
          <w:bCs/>
          <w:sz w:val="28"/>
          <w:szCs w:val="28"/>
        </w:rPr>
      </w:pPr>
      <w:r>
        <w:rPr>
          <w:rStyle w:val="normaltextrun"/>
          <w:rFonts w:ascii="Source Sans Pro" w:hAnsi="Source Sans Pro" w:eastAsia="Calibri" w:cstheme="minorHAnsi"/>
          <w:b/>
          <w:bCs/>
          <w:sz w:val="28"/>
          <w:szCs w:val="28"/>
        </w:rPr>
        <w:t>CONSIDER THIS SCENARIO</w:t>
      </w:r>
    </w:p>
    <w:p w:rsidR="00F5656C" w:rsidP="00F5656C" w:rsidRDefault="00F5656C" w14:paraId="37AFED00" w14:textId="77777777">
      <w:pPr>
        <w:spacing w:after="240" w:line="240" w:lineRule="auto"/>
        <w:ind w:left="720"/>
        <w:rPr>
          <w:rFonts w:ascii="Source Sans Pro" w:hAnsi="Source Sans Pro"/>
          <w:i/>
          <w:iCs/>
          <w:sz w:val="24"/>
          <w:szCs w:val="24"/>
        </w:rPr>
      </w:pPr>
      <w:r w:rsidRPr="00F5656C">
        <w:rPr>
          <w:rFonts w:ascii="Source Sans Pro" w:hAnsi="Source Sans Pro"/>
          <w:i/>
          <w:iCs/>
          <w:sz w:val="24"/>
          <w:szCs w:val="24"/>
        </w:rPr>
        <w:t>Ms. Schweizer is the lead literacy coach for her district. In her role, she supports teachers at all levels to better understand and implement good reading instruction. She knows that learning to read is a complex process and has worked to support her educators to engage with as many aspects of reading as possible in their classrooms. However, the application has been uneven. Some teachers seem to understand what it takes to teach their students while others are still confused. Ms. Schweizer knows that she needs a model or approach that can get everyone on the same page, but she is not sure what this might look like.</w:t>
      </w:r>
    </w:p>
    <w:p w:rsidRPr="007D5536" w:rsidR="00546F2D" w:rsidP="00F5656C" w:rsidRDefault="007D5536" w14:paraId="7E52A1DC" w14:textId="39B03361">
      <w:pPr>
        <w:spacing w:after="240" w:line="240" w:lineRule="auto"/>
        <w:rPr>
          <w:rFonts w:ascii="Source Sans Pro" w:hAnsi="Source Sans Pro" w:eastAsia="Calibri"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rsidTr="003B6547" w14:paraId="204F7E8F" w14:textId="77777777">
        <w:trPr>
          <w:trHeight w:val="2880"/>
        </w:trPr>
        <w:tc>
          <w:tcPr>
            <w:tcW w:w="9350" w:type="dxa"/>
            <w:tcBorders>
              <w:top w:val="nil"/>
              <w:left w:val="nil"/>
              <w:bottom w:val="nil"/>
              <w:right w:val="nil"/>
            </w:tcBorders>
          </w:tcPr>
          <w:p w:rsidR="003B6547" w:rsidP="003B6547" w:rsidRDefault="003B6547" w14:paraId="22227E2E" w14:textId="77777777">
            <w:pPr>
              <w:spacing w:after="240"/>
              <w:rPr>
                <w:rFonts w:ascii="Source Sans Pro" w:hAnsi="Source Sans Pro" w:eastAsia="Calibri" w:cstheme="minorHAnsi"/>
                <w:color w:val="000000" w:themeColor="text1"/>
                <w:sz w:val="24"/>
                <w:szCs w:val="24"/>
              </w:rPr>
            </w:pPr>
          </w:p>
        </w:tc>
      </w:tr>
    </w:tbl>
    <w:p w:rsidR="003B6547" w:rsidP="00A43026" w:rsidRDefault="00A43026" w14:paraId="4BFF5168" w14:textId="0C60B5A1">
      <w:pPr>
        <w:spacing w:before="240"/>
        <w:rPr>
          <w:rStyle w:val="eop"/>
          <w:rFonts w:ascii="Source Sans Pro" w:hAnsi="Source Sans Pro" w:eastAsia="Calibri" w:cstheme="minorHAnsi"/>
          <w:b/>
          <w:bCs/>
          <w:sz w:val="28"/>
          <w:szCs w:val="28"/>
        </w:rPr>
      </w:pPr>
      <w:r>
        <w:rPr>
          <w:rStyle w:val="eop"/>
          <w:rFonts w:ascii="Source Sans Pro" w:hAnsi="Source Sans Pro" w:eastAsia="Calibri" w:cstheme="minorHAnsi"/>
          <w:b/>
          <w:bCs/>
          <w:sz w:val="28"/>
          <w:szCs w:val="28"/>
        </w:rPr>
        <w:t>WHAT IS THE SIMPLE VIEW OF READING?</w:t>
      </w:r>
    </w:p>
    <w:p w:rsidR="003B6547" w:rsidP="00E846E4" w:rsidRDefault="00A43026" w14:paraId="473945CB" w14:textId="73B6B2EB">
      <w:pPr>
        <w:spacing w:after="0" w:line="240" w:lineRule="auto"/>
        <w:rPr>
          <w:rFonts w:ascii="Source Sans Pro" w:hAnsi="Source Sans Pro" w:eastAsia="Calibri" w:cstheme="minorHAnsi"/>
          <w:sz w:val="24"/>
          <w:szCs w:val="24"/>
        </w:rPr>
      </w:pPr>
      <w:r w:rsidRPr="00A43026">
        <w:rPr>
          <w:rFonts w:ascii="Source Sans Pro" w:hAnsi="Source Sans Pro" w:eastAsia="Calibri" w:cstheme="minorHAnsi"/>
          <w:sz w:val="24"/>
          <w:szCs w:val="24"/>
        </w:rPr>
        <w:t>The Simple View of Reading is a formula based on the widely accepted view that reading includes two basic components: decoding (word-level reading) and language comprehension.</w:t>
      </w:r>
    </w:p>
    <w:p w:rsidR="00A43026" w:rsidP="00A43026" w:rsidRDefault="00E846E4" w14:paraId="691615F3" w14:textId="4D3B34AF">
      <w:pPr>
        <w:spacing w:before="240" w:after="240" w:line="240" w:lineRule="auto"/>
        <w:rPr>
          <w:rStyle w:val="eop"/>
          <w:rFonts w:ascii="Source Sans Pro" w:hAnsi="Source Sans Pro" w:eastAsia="Calibri" w:cstheme="minorHAnsi"/>
          <w:sz w:val="24"/>
          <w:szCs w:val="24"/>
        </w:rPr>
      </w:pPr>
      <w:r w:rsidRPr="00E846E4">
        <w:rPr>
          <w:rStyle w:val="eop"/>
          <w:rFonts w:ascii="Source Sans Pro" w:hAnsi="Source Sans Pro" w:eastAsia="Calibri" w:cstheme="minorHAnsi"/>
          <w:noProof/>
          <w:sz w:val="24"/>
          <w:szCs w:val="24"/>
        </w:rPr>
        <w:drawing>
          <wp:inline distT="0" distB="0" distL="0" distR="0" wp14:anchorId="348D4535" wp14:editId="3D7AA487">
            <wp:extent cx="5943600" cy="673735"/>
            <wp:effectExtent l="0" t="0" r="0" b="0"/>
            <wp:docPr id="1471787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73735"/>
                    </a:xfrm>
                    <a:prstGeom prst="rect">
                      <a:avLst/>
                    </a:prstGeom>
                    <a:noFill/>
                    <a:ln>
                      <a:noFill/>
                    </a:ln>
                  </pic:spPr>
                </pic:pic>
              </a:graphicData>
            </a:graphic>
          </wp:inline>
        </w:drawing>
      </w:r>
    </w:p>
    <w:p w:rsidR="00E846E4" w:rsidP="00A43026" w:rsidRDefault="00E2278A" w14:paraId="6482ACBB" w14:textId="23C330E3">
      <w:pPr>
        <w:spacing w:before="240" w:after="240" w:line="240" w:lineRule="auto"/>
        <w:rPr>
          <w:rStyle w:val="eop"/>
          <w:rFonts w:ascii="Source Sans Pro" w:hAnsi="Source Sans Pro"/>
          <w:b/>
          <w:bCs/>
          <w:sz w:val="28"/>
          <w:szCs w:val="28"/>
        </w:rPr>
      </w:pPr>
      <w:r>
        <w:rPr>
          <w:rStyle w:val="eop"/>
          <w:rFonts w:ascii="Source Sans Pro" w:hAnsi="Source Sans Pro"/>
          <w:b/>
          <w:bCs/>
          <w:sz w:val="28"/>
          <w:szCs w:val="28"/>
        </w:rPr>
        <w:lastRenderedPageBreak/>
        <w:t>VIDEO: THE SIMPLE VIEW OF READING WITH CAROLYN TURNER</w:t>
      </w:r>
    </w:p>
    <w:p w:rsidRPr="00E2278A" w:rsidR="00E2278A" w:rsidP="00A43026" w:rsidRDefault="00E2278A" w14:paraId="6B8ADD1F" w14:textId="1C7535E3">
      <w:pPr>
        <w:spacing w:before="240" w:after="240" w:line="240" w:lineRule="auto"/>
        <w:rPr>
          <w:rStyle w:val="eop"/>
          <w:rFonts w:ascii="Source Sans Pro" w:hAnsi="Source Sans Pro" w:eastAsia="Calibri" w:cstheme="minorHAnsi"/>
          <w:sz w:val="24"/>
          <w:szCs w:val="24"/>
        </w:rPr>
      </w:pPr>
      <w:r>
        <w:rPr>
          <w:rStyle w:val="eop"/>
          <w:rFonts w:ascii="Source Sans Pro" w:hAnsi="Source Sans Pro" w:eastAsia="Calibri" w:cstheme="minorHAnsi"/>
          <w:sz w:val="24"/>
          <w:szCs w:val="24"/>
        </w:rPr>
        <w:t>Notes:</w:t>
      </w:r>
    </w:p>
    <w:tbl>
      <w:tblPr>
        <w:tblStyle w:val="TableGrid"/>
        <w:tblW w:w="0" w:type="auto"/>
        <w:tblLook w:val="04A0" w:firstRow="1" w:lastRow="0" w:firstColumn="1" w:lastColumn="0" w:noHBand="0" w:noVBand="1"/>
      </w:tblPr>
      <w:tblGrid>
        <w:gridCol w:w="9350"/>
      </w:tblGrid>
      <w:tr w:rsidR="00981BF7" w:rsidTr="00981BF7" w14:paraId="1B516710" w14:textId="77777777">
        <w:trPr>
          <w:trHeight w:val="2880"/>
        </w:trPr>
        <w:tc>
          <w:tcPr>
            <w:tcW w:w="9350" w:type="dxa"/>
            <w:tcBorders>
              <w:top w:val="nil"/>
              <w:left w:val="nil"/>
              <w:bottom w:val="nil"/>
              <w:right w:val="nil"/>
            </w:tcBorders>
          </w:tcPr>
          <w:p w:rsidR="00981BF7" w:rsidP="00981BF7" w:rsidRDefault="00981BF7" w14:paraId="09B5B79B" w14:textId="77777777">
            <w:pPr>
              <w:spacing w:before="240" w:after="240"/>
              <w:rPr>
                <w:rStyle w:val="eop"/>
                <w:rFonts w:ascii="Source Sans Pro" w:hAnsi="Source Sans Pro" w:eastAsia="Calibri" w:cstheme="minorHAnsi"/>
                <w:sz w:val="24"/>
                <w:szCs w:val="24"/>
              </w:rPr>
            </w:pPr>
          </w:p>
        </w:tc>
      </w:tr>
    </w:tbl>
    <w:p w:rsidRPr="007333D7" w:rsidR="00F47F3A" w:rsidP="002C2BE0" w:rsidRDefault="00881F21" w14:paraId="301412D8" w14:textId="6AF0EA7C">
      <w:pPr>
        <w:spacing w:before="240"/>
        <w:rPr>
          <w:rFonts w:ascii="Source Sans Pro" w:hAnsi="Source Sans Pro" w:eastAsia="Calibri" w:cstheme="minorHAnsi"/>
          <w:b/>
          <w:bCs/>
          <w:sz w:val="28"/>
          <w:szCs w:val="28"/>
        </w:rPr>
      </w:pPr>
      <w:r>
        <w:rPr>
          <w:rFonts w:ascii="Source Sans Pro" w:hAnsi="Source Sans Pro" w:eastAsia="Calibri" w:cstheme="minorHAnsi"/>
          <w:b/>
          <w:bCs/>
          <w:sz w:val="28"/>
          <w:szCs w:val="28"/>
        </w:rPr>
        <w:t>RESOURCES</w:t>
      </w:r>
    </w:p>
    <w:p w:rsidRPr="00E2278A" w:rsidR="00E2278A" w:rsidP="00E2278A" w:rsidRDefault="00E2278A" w14:paraId="0FF8BB26" w14:textId="76B4BF9B">
      <w:pPr>
        <w:spacing w:after="240"/>
        <w:rPr>
          <w:rFonts w:ascii="Source Sans Pro" w:hAnsi="Source Sans Pro" w:eastAsia="Times New Roman" w:cstheme="minorHAnsi"/>
          <w:sz w:val="24"/>
          <w:szCs w:val="24"/>
        </w:rPr>
      </w:pPr>
      <w:r w:rsidRPr="00E2278A">
        <w:rPr>
          <w:rFonts w:ascii="Source Sans Pro" w:hAnsi="Source Sans Pro" w:eastAsia="Times New Roman" w:cstheme="minorHAnsi"/>
          <w:sz w:val="24"/>
          <w:szCs w:val="24"/>
        </w:rPr>
        <w:t xml:space="preserve">Read through the excerpt on </w:t>
      </w:r>
      <w:hyperlink w:history="1" r:id="rId11">
        <w:r w:rsidRPr="00E2278A">
          <w:rPr>
            <w:rStyle w:val="Hyperlink"/>
            <w:rFonts w:ascii="Source Sans Pro" w:hAnsi="Source Sans Pro" w:eastAsia="Times New Roman" w:cstheme="minorHAnsi"/>
            <w:sz w:val="24"/>
            <w:szCs w:val="24"/>
          </w:rPr>
          <w:t>Learners with Difficulties in Reading or Writing K-12</w:t>
        </w:r>
      </w:hyperlink>
      <w:r w:rsidRPr="00E2278A">
        <w:rPr>
          <w:rFonts w:ascii="Source Sans Pro" w:hAnsi="Source Sans Pro" w:eastAsia="Times New Roman" w:cstheme="minorHAnsi"/>
          <w:sz w:val="24"/>
          <w:szCs w:val="24"/>
        </w:rPr>
        <w:t xml:space="preserve"> from Ohio's Plan to Raise Literacy achievement (pp. 34-35). Answer the following question in your Course Companion:</w:t>
      </w:r>
    </w:p>
    <w:p w:rsidR="00E2278A" w:rsidP="00E2278A" w:rsidRDefault="00E2278A" w14:paraId="5430496A" w14:textId="61F95DEB">
      <w:pPr>
        <w:spacing w:after="240"/>
        <w:rPr>
          <w:rFonts w:ascii="Source Sans Pro" w:hAnsi="Source Sans Pro" w:eastAsia="Times New Roman" w:cstheme="minorHAnsi"/>
          <w:sz w:val="24"/>
          <w:szCs w:val="24"/>
        </w:rPr>
      </w:pPr>
      <w:r w:rsidRPr="00E2278A">
        <w:rPr>
          <w:rFonts w:ascii="Source Sans Pro" w:hAnsi="Source Sans Pro" w:eastAsia="Times New Roman" w:cstheme="minorHAnsi"/>
          <w:sz w:val="24"/>
          <w:szCs w:val="24"/>
        </w:rPr>
        <w:t>Consider the model for types of reading difficulties (table below). How do you currently serve students who fit into each category? Is there anything from the video or article in this course that can help you to improve your approaches? If so, what?</w:t>
      </w:r>
    </w:p>
    <w:p w:rsidRPr="00E2278A" w:rsidR="006C0349" w:rsidP="006C0349" w:rsidRDefault="006C0349" w14:paraId="7D374351" w14:textId="383544B6">
      <w:pPr>
        <w:spacing w:after="240"/>
        <w:jc w:val="center"/>
        <w:rPr>
          <w:rFonts w:ascii="Source Sans Pro" w:hAnsi="Source Sans Pro" w:eastAsia="Times New Roman" w:cstheme="minorHAnsi"/>
          <w:sz w:val="24"/>
          <w:szCs w:val="24"/>
        </w:rPr>
      </w:pPr>
      <w:r w:rsidRPr="006C0349">
        <w:rPr>
          <w:rFonts w:ascii="Source Sans Pro" w:hAnsi="Source Sans Pro" w:eastAsia="Times New Roman" w:cstheme="minorHAnsi"/>
          <w:noProof/>
          <w:sz w:val="24"/>
          <w:szCs w:val="24"/>
        </w:rPr>
        <w:drawing>
          <wp:inline distT="0" distB="0" distL="0" distR="0" wp14:anchorId="474A7DED" wp14:editId="74FD2299">
            <wp:extent cx="3733800" cy="1544782"/>
            <wp:effectExtent l="0" t="0" r="0" b="0"/>
            <wp:docPr id="1277627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4155" cy="155734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350"/>
      </w:tblGrid>
      <w:tr w:rsidR="00643CB0" w:rsidTr="006D03D9" w14:paraId="1D16085B" w14:textId="77777777">
        <w:trPr>
          <w:trHeight w:val="2880"/>
        </w:trPr>
        <w:tc>
          <w:tcPr>
            <w:tcW w:w="9350" w:type="dxa"/>
            <w:tcBorders>
              <w:top w:val="nil"/>
              <w:left w:val="nil"/>
              <w:bottom w:val="nil"/>
              <w:right w:val="nil"/>
            </w:tcBorders>
          </w:tcPr>
          <w:p w:rsidR="00643CB0" w:rsidP="003B6547" w:rsidRDefault="00643CB0" w14:paraId="66A32D84" w14:textId="77777777">
            <w:pPr>
              <w:spacing w:before="100" w:beforeAutospacing="1" w:after="240"/>
              <w:rPr>
                <w:rFonts w:ascii="Source Sans Pro" w:hAnsi="Source Sans Pro" w:eastAsia="Times New Roman" w:cstheme="minorHAnsi"/>
                <w:sz w:val="24"/>
                <w:szCs w:val="24"/>
              </w:rPr>
            </w:pPr>
          </w:p>
        </w:tc>
      </w:tr>
    </w:tbl>
    <w:p w:rsidR="1DF678E4" w:rsidP="009A2538" w:rsidRDefault="003521AC" w14:paraId="2F08CB25" w14:textId="74071A13">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lastRenderedPageBreak/>
        <w:t>COURSE REFLECTION</w:t>
      </w:r>
    </w:p>
    <w:p w:rsidRPr="00E172D1" w:rsidR="00E279CB" w:rsidP="00E172D1" w:rsidRDefault="00E172D1" w14:paraId="37137C46" w14:textId="396F6742">
      <w:pPr>
        <w:spacing w:before="100" w:beforeAutospacing="1" w:after="240" w:line="240" w:lineRule="auto"/>
        <w:rPr>
          <w:rFonts w:ascii="Source Sans Pro" w:hAnsi="Source Sans Pro" w:eastAsiaTheme="minorEastAsia"/>
          <w:sz w:val="24"/>
          <w:szCs w:val="24"/>
        </w:rPr>
      </w:pPr>
      <w:r w:rsidRPr="00E172D1">
        <w:rPr>
          <w:rFonts w:ascii="Source Sans Pro" w:hAnsi="Source Sans Pro" w:eastAsiaTheme="minorEastAsia"/>
          <w:sz w:val="24"/>
          <w:szCs w:val="24"/>
        </w:rPr>
        <w:t>What information from this course affirmed or challenged your current approach to literacy instruction?</w:t>
      </w:r>
    </w:p>
    <w:tbl>
      <w:tblPr>
        <w:tblStyle w:val="TableGrid"/>
        <w:tblW w:w="0" w:type="auto"/>
        <w:tblLook w:val="04A0" w:firstRow="1" w:lastRow="0" w:firstColumn="1" w:lastColumn="0" w:noHBand="0" w:noVBand="1"/>
      </w:tblPr>
      <w:tblGrid>
        <w:gridCol w:w="9350"/>
      </w:tblGrid>
      <w:tr w:rsidR="00E279CB" w:rsidTr="006D1D89" w14:paraId="0D22660E" w14:textId="77777777">
        <w:trPr>
          <w:trHeight w:val="2016"/>
        </w:trPr>
        <w:tc>
          <w:tcPr>
            <w:tcW w:w="9350" w:type="dxa"/>
            <w:tcBorders>
              <w:top w:val="nil"/>
              <w:left w:val="nil"/>
              <w:bottom w:val="nil"/>
              <w:right w:val="nil"/>
            </w:tcBorders>
          </w:tcPr>
          <w:p w:rsidR="00E279CB" w:rsidP="00E279CB" w:rsidRDefault="00E279CB" w14:paraId="38D637AB" w14:textId="77777777">
            <w:pPr>
              <w:spacing w:before="100" w:beforeAutospacing="1" w:after="240"/>
              <w:rPr>
                <w:rFonts w:ascii="Source Sans Pro" w:hAnsi="Source Sans Pro" w:eastAsiaTheme="minorEastAsia"/>
                <w:sz w:val="24"/>
                <w:szCs w:val="24"/>
              </w:rPr>
            </w:pPr>
          </w:p>
        </w:tc>
      </w:tr>
    </w:tbl>
    <w:p w:rsidRPr="00A07EFA" w:rsidR="00A07EFA" w:rsidP="00A07EFA" w:rsidRDefault="00A07EFA" w14:paraId="405DCEE7" w14:textId="77777777">
      <w:pPr>
        <w:spacing w:before="100" w:beforeAutospacing="1" w:after="240" w:line="240" w:lineRule="auto"/>
        <w:rPr>
          <w:rFonts w:ascii="Source Sans Pro" w:hAnsi="Source Sans Pro" w:eastAsiaTheme="minorEastAsia"/>
          <w:sz w:val="24"/>
          <w:szCs w:val="24"/>
        </w:rPr>
      </w:pPr>
      <w:r w:rsidRPr="00A07EFA">
        <w:rPr>
          <w:rFonts w:ascii="Source Sans Pro" w:hAnsi="Source Sans Pro" w:eastAsiaTheme="minorEastAsia"/>
          <w:sz w:val="24"/>
          <w:szCs w:val="24"/>
        </w:rPr>
        <w:t xml:space="preserve">What is one thing from the course that you would like to learn more about? </w:t>
      </w:r>
    </w:p>
    <w:tbl>
      <w:tblPr>
        <w:tblStyle w:val="TableGrid"/>
        <w:tblW w:w="0" w:type="auto"/>
        <w:tblLook w:val="04A0" w:firstRow="1" w:lastRow="0" w:firstColumn="1" w:lastColumn="0" w:noHBand="0" w:noVBand="1"/>
      </w:tblPr>
      <w:tblGrid>
        <w:gridCol w:w="9350"/>
      </w:tblGrid>
      <w:tr w:rsidR="00A07EFA" w:rsidTr="006D1D89" w14:paraId="20000D5E" w14:textId="77777777">
        <w:trPr>
          <w:trHeight w:val="2016"/>
        </w:trPr>
        <w:tc>
          <w:tcPr>
            <w:tcW w:w="9350" w:type="dxa"/>
            <w:tcBorders>
              <w:top w:val="nil"/>
              <w:left w:val="nil"/>
              <w:bottom w:val="nil"/>
              <w:right w:val="nil"/>
            </w:tcBorders>
          </w:tcPr>
          <w:p w:rsidR="00A07EFA" w:rsidP="0071013F" w:rsidRDefault="00A07EFA" w14:paraId="7CFD645C" w14:textId="77777777">
            <w:pPr>
              <w:spacing w:before="100" w:beforeAutospacing="1" w:after="240"/>
              <w:rPr>
                <w:rFonts w:ascii="Source Sans Pro" w:hAnsi="Source Sans Pro" w:eastAsiaTheme="minorEastAsia"/>
                <w:sz w:val="24"/>
                <w:szCs w:val="24"/>
              </w:rPr>
            </w:pPr>
          </w:p>
        </w:tc>
      </w:tr>
    </w:tbl>
    <w:p w:rsidRPr="00A07EFA" w:rsidR="00A07EFA" w:rsidP="00A07EFA" w:rsidRDefault="00A07EFA" w14:paraId="4C50961A" w14:textId="77777777">
      <w:pPr>
        <w:spacing w:before="100" w:beforeAutospacing="1" w:after="240" w:line="240" w:lineRule="auto"/>
        <w:rPr>
          <w:rFonts w:ascii="Source Sans Pro" w:hAnsi="Source Sans Pro" w:eastAsiaTheme="minorEastAsia"/>
          <w:sz w:val="24"/>
          <w:szCs w:val="24"/>
        </w:rPr>
      </w:pPr>
      <w:r w:rsidRPr="00A07EFA">
        <w:rPr>
          <w:rFonts w:ascii="Source Sans Pro" w:hAnsi="Source Sans Pro" w:eastAsiaTheme="minorEastAsia"/>
          <w:sz w:val="24"/>
          <w:szCs w:val="24"/>
        </w:rPr>
        <w:t xml:space="preserve">What is one action step you can take, based on your learning, to improve your current approach to literacy instruction? Who else from your building or district may need to be involved? </w:t>
      </w:r>
    </w:p>
    <w:tbl>
      <w:tblPr>
        <w:tblStyle w:val="TableGrid"/>
        <w:tblW w:w="0" w:type="auto"/>
        <w:tblLook w:val="04A0" w:firstRow="1" w:lastRow="0" w:firstColumn="1" w:lastColumn="0" w:noHBand="0" w:noVBand="1"/>
      </w:tblPr>
      <w:tblGrid>
        <w:gridCol w:w="9350"/>
      </w:tblGrid>
      <w:tr w:rsidR="00A07EFA" w:rsidTr="6C6F94F1" w14:paraId="6A481E77" w14:textId="77777777">
        <w:trPr>
          <w:trHeight w:val="2016"/>
        </w:trPr>
        <w:tc>
          <w:tcPr>
            <w:tcW w:w="9350" w:type="dxa"/>
            <w:tcBorders>
              <w:top w:val="nil"/>
              <w:left w:val="nil"/>
              <w:bottom w:val="nil"/>
              <w:right w:val="nil"/>
            </w:tcBorders>
            <w:tcMar/>
          </w:tcPr>
          <w:p w:rsidR="00A07EFA" w:rsidP="0071013F" w:rsidRDefault="00A07EFA" w14:paraId="7A3F5260" w14:textId="77777777">
            <w:pPr>
              <w:spacing w:before="100" w:beforeAutospacing="1" w:after="240"/>
              <w:rPr>
                <w:rFonts w:ascii="Source Sans Pro" w:hAnsi="Source Sans Pro" w:eastAsiaTheme="minorEastAsia"/>
                <w:sz w:val="24"/>
                <w:szCs w:val="24"/>
              </w:rPr>
            </w:pPr>
          </w:p>
        </w:tc>
      </w:tr>
    </w:tbl>
    <w:p w:rsidR="6C6F94F1" w:rsidP="6C6F94F1" w:rsidRDefault="6C6F94F1" w14:paraId="64283E13" w14:textId="6103F140">
      <w:pPr>
        <w:spacing w:beforeAutospacing="on" w:after="240" w:line="240" w:lineRule="auto"/>
        <w:rPr>
          <w:rFonts w:ascii="Source Sans Pro" w:hAnsi="Source Sans Pro" w:eastAsia="" w:eastAsiaTheme="minorEastAsia"/>
          <w:b w:val="1"/>
          <w:bCs w:val="1"/>
          <w:sz w:val="28"/>
          <w:szCs w:val="28"/>
        </w:rPr>
      </w:pPr>
    </w:p>
    <w:p w:rsidR="6C6F94F1" w:rsidP="6C6F94F1" w:rsidRDefault="6C6F94F1" w14:paraId="0EB2B5F0" w14:textId="44F980CA">
      <w:pPr>
        <w:spacing w:beforeAutospacing="on" w:after="240" w:line="240" w:lineRule="auto"/>
        <w:rPr>
          <w:rFonts w:ascii="Source Sans Pro" w:hAnsi="Source Sans Pro" w:eastAsia="" w:eastAsiaTheme="minorEastAsia"/>
          <w:b w:val="1"/>
          <w:bCs w:val="1"/>
          <w:sz w:val="28"/>
          <w:szCs w:val="28"/>
        </w:rPr>
      </w:pPr>
    </w:p>
    <w:p w:rsidRPr="00690A5A" w:rsidR="00690A5A" w:rsidP="00690A5A" w:rsidRDefault="0071013F" w14:paraId="701C7D85" w14:textId="24081A55">
      <w:pPr>
        <w:spacing w:before="100" w:beforeAutospacing="1" w:after="240" w:line="240" w:lineRule="auto"/>
        <w:rPr>
          <w:rFonts w:ascii="Source Sans Pro" w:hAnsi="Source Sans Pro" w:eastAsiaTheme="minorEastAsia"/>
          <w:b/>
          <w:bCs/>
          <w:sz w:val="28"/>
          <w:szCs w:val="28"/>
        </w:rPr>
      </w:pPr>
      <w:r>
        <w:rPr>
          <w:rFonts w:ascii="Source Sans Pro" w:hAnsi="Source Sans Pro" w:eastAsiaTheme="minorEastAsia"/>
          <w:b/>
          <w:bCs/>
          <w:sz w:val="28"/>
          <w:szCs w:val="28"/>
        </w:rPr>
        <w:t>RESOURCES IN THIS COURSE</w:t>
      </w:r>
    </w:p>
    <w:p w:rsidRPr="00690A5A" w:rsidR="00690A5A" w:rsidP="00690A5A" w:rsidRDefault="00690A5A" w14:paraId="10085413" w14:textId="6EDC7903">
      <w:pPr>
        <w:pStyle w:val="ListParagraph"/>
        <w:numPr>
          <w:ilvl w:val="0"/>
          <w:numId w:val="17"/>
        </w:numPr>
        <w:spacing w:before="100" w:beforeAutospacing="1" w:after="240"/>
        <w:contextualSpacing w:val="0"/>
        <w:rPr>
          <w:rFonts w:ascii="Source Sans Pro" w:hAnsi="Source Sans Pro"/>
          <w:sz w:val="24"/>
          <w:szCs w:val="24"/>
        </w:rPr>
      </w:pPr>
      <w:r w:rsidRPr="00690A5A">
        <w:rPr>
          <w:rFonts w:ascii="Source Sans Pro" w:hAnsi="Source Sans Pro"/>
          <w:sz w:val="24"/>
          <w:szCs w:val="24"/>
        </w:rPr>
        <w:t xml:space="preserve">Reading Rockets provides an overview of the Simple View of Reading, along with some key definitions, in their article </w:t>
      </w:r>
      <w:hyperlink w:history="1" r:id="rId13">
        <w:r w:rsidRPr="00690A5A">
          <w:rPr>
            <w:rStyle w:val="Hyperlink"/>
            <w:rFonts w:ascii="Source Sans Pro" w:hAnsi="Source Sans Pro"/>
            <w:sz w:val="24"/>
            <w:szCs w:val="24"/>
          </w:rPr>
          <w:t>The Simple View of Reading</w:t>
        </w:r>
      </w:hyperlink>
      <w:r>
        <w:rPr>
          <w:rFonts w:ascii="Source Sans Pro" w:hAnsi="Source Sans Pro"/>
          <w:sz w:val="24"/>
          <w:szCs w:val="24"/>
        </w:rPr>
        <w:t>.</w:t>
      </w:r>
    </w:p>
    <w:p w:rsidRPr="00690A5A" w:rsidR="005C480F" w:rsidP="00690A5A" w:rsidRDefault="006D1D89" w14:paraId="114FA18F" w14:textId="5887DC5E">
      <w:pPr>
        <w:pStyle w:val="ListParagraph"/>
        <w:numPr>
          <w:ilvl w:val="0"/>
          <w:numId w:val="17"/>
        </w:numPr>
        <w:spacing w:before="100" w:beforeAutospacing="1" w:after="240"/>
        <w:contextualSpacing w:val="0"/>
        <w:rPr>
          <w:rFonts w:ascii="Source Sans Pro" w:hAnsi="Source Sans Pro"/>
          <w:sz w:val="24"/>
          <w:szCs w:val="24"/>
        </w:rPr>
      </w:pPr>
      <w:hyperlink w:history="1" r:id="rId14">
        <w:r w:rsidRPr="00690A5A" w:rsidR="00690A5A">
          <w:rPr>
            <w:rStyle w:val="Hyperlink"/>
            <w:rFonts w:ascii="Source Sans Pro" w:hAnsi="Source Sans Pro"/>
            <w:sz w:val="24"/>
            <w:szCs w:val="24"/>
          </w:rPr>
          <w:t>Ohio’s Plan to Raise Literacy Achievement</w:t>
        </w:r>
      </w:hyperlink>
      <w:r w:rsidRPr="00690A5A" w:rsidR="00690A5A">
        <w:rPr>
          <w:rFonts w:ascii="Source Sans Pro" w:hAnsi="Source Sans Pro"/>
          <w:sz w:val="24"/>
          <w:szCs w:val="24"/>
        </w:rPr>
        <w:t xml:space="preserve"> covers, in depth, the components of the Simple View of Reading for early, emergent, conventional and adolescent literacy (especially pages 23-33)</w:t>
      </w:r>
      <w:r w:rsidR="00690A5A">
        <w:rPr>
          <w:rFonts w:ascii="Source Sans Pro" w:hAnsi="Source Sans Pro"/>
          <w:sz w:val="24"/>
          <w:szCs w:val="24"/>
        </w:rPr>
        <w:t>.</w:t>
      </w:r>
    </w:p>
    <w:sectPr w:rsidRPr="00690A5A" w:rsidR="005C480F">
      <w:head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4EDB" w:rsidP="00B941B7" w:rsidRDefault="002C4EDB" w14:paraId="5BF956EA" w14:textId="77777777">
      <w:pPr>
        <w:spacing w:after="0" w:line="240" w:lineRule="auto"/>
      </w:pPr>
      <w:r>
        <w:separator/>
      </w:r>
    </w:p>
  </w:endnote>
  <w:endnote w:type="continuationSeparator" w:id="0">
    <w:p w:rsidR="002C4EDB" w:rsidP="00B941B7" w:rsidRDefault="002C4EDB" w14:paraId="10DE189D" w14:textId="77777777">
      <w:pPr>
        <w:spacing w:after="0" w:line="240" w:lineRule="auto"/>
      </w:pPr>
      <w:r>
        <w:continuationSeparator/>
      </w:r>
    </w:p>
  </w:endnote>
  <w:endnote w:type="continuationNotice" w:id="1">
    <w:p w:rsidR="002C4EDB" w:rsidRDefault="002C4EDB" w14:paraId="78F25B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4EDB" w:rsidP="00B941B7" w:rsidRDefault="002C4EDB" w14:paraId="65FFE478" w14:textId="77777777">
      <w:pPr>
        <w:spacing w:after="0" w:line="240" w:lineRule="auto"/>
      </w:pPr>
      <w:r>
        <w:separator/>
      </w:r>
    </w:p>
  </w:footnote>
  <w:footnote w:type="continuationSeparator" w:id="0">
    <w:p w:rsidR="002C4EDB" w:rsidP="00B941B7" w:rsidRDefault="002C4EDB" w14:paraId="2965D3E2" w14:textId="77777777">
      <w:pPr>
        <w:spacing w:after="0" w:line="240" w:lineRule="auto"/>
      </w:pPr>
      <w:r>
        <w:continuationSeparator/>
      </w:r>
    </w:p>
  </w:footnote>
  <w:footnote w:type="continuationNotice" w:id="1">
    <w:p w:rsidR="002C4EDB" w:rsidRDefault="002C4EDB" w14:paraId="00362C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941B7" w:rsidP="003441C8" w:rsidRDefault="004F0944" w14:paraId="1D1F8AED" w14:textId="00095927">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C9C"/>
    <w:multiLevelType w:val="hybridMultilevel"/>
    <w:tmpl w:val="FF3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616"/>
    <w:multiLevelType w:val="multilevel"/>
    <w:tmpl w:val="C0065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453D7A"/>
    <w:multiLevelType w:val="hybridMultilevel"/>
    <w:tmpl w:val="70C81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F408FD"/>
    <w:multiLevelType w:val="hybridMultilevel"/>
    <w:tmpl w:val="160E6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F1392"/>
    <w:multiLevelType w:val="hybridMultilevel"/>
    <w:tmpl w:val="FB2A38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9152173"/>
    <w:multiLevelType w:val="hybridMultilevel"/>
    <w:tmpl w:val="D8420E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C0831DD"/>
    <w:multiLevelType w:val="hybridMultilevel"/>
    <w:tmpl w:val="2CA89C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35619D"/>
    <w:multiLevelType w:val="hybridMultilevel"/>
    <w:tmpl w:val="BA3AC64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0A088C"/>
    <w:multiLevelType w:val="hybridMultilevel"/>
    <w:tmpl w:val="CB4A8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5FC6C54"/>
    <w:multiLevelType w:val="multilevel"/>
    <w:tmpl w:val="2C563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4448AE"/>
    <w:multiLevelType w:val="hybridMultilevel"/>
    <w:tmpl w:val="054480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5954483"/>
    <w:multiLevelType w:val="multilevel"/>
    <w:tmpl w:val="3AF8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82E76F3"/>
    <w:multiLevelType w:val="hybridMultilevel"/>
    <w:tmpl w:val="23E8C3EC"/>
    <w:lvl w:ilvl="0" w:tplc="BE80D95C">
      <w:start w:val="1"/>
      <w:numFmt w:val="bullet"/>
      <w:lvlText w:val=""/>
      <w:lvlJc w:val="left"/>
      <w:pPr>
        <w:ind w:left="360" w:hanging="360"/>
      </w:pPr>
      <w:rPr>
        <w:rFonts w:hint="default" w:ascii="Symbol" w:hAnsi="Symbol"/>
      </w:rPr>
    </w:lvl>
    <w:lvl w:ilvl="1" w:tplc="4C62B9C6">
      <w:start w:val="1"/>
      <w:numFmt w:val="bullet"/>
      <w:lvlText w:val="o"/>
      <w:lvlJc w:val="left"/>
      <w:pPr>
        <w:ind w:left="1080" w:hanging="360"/>
      </w:pPr>
      <w:rPr>
        <w:rFonts w:hint="default" w:ascii="Courier New" w:hAnsi="Courier New"/>
      </w:rPr>
    </w:lvl>
    <w:lvl w:ilvl="2" w:tplc="643CA72C">
      <w:start w:val="1"/>
      <w:numFmt w:val="bullet"/>
      <w:lvlText w:val=""/>
      <w:lvlJc w:val="left"/>
      <w:pPr>
        <w:ind w:left="1800" w:hanging="360"/>
      </w:pPr>
      <w:rPr>
        <w:rFonts w:hint="default" w:ascii="Wingdings" w:hAnsi="Wingdings"/>
      </w:rPr>
    </w:lvl>
    <w:lvl w:ilvl="3" w:tplc="D8DE4338">
      <w:start w:val="1"/>
      <w:numFmt w:val="bullet"/>
      <w:lvlText w:val=""/>
      <w:lvlJc w:val="left"/>
      <w:pPr>
        <w:ind w:left="2520" w:hanging="360"/>
      </w:pPr>
      <w:rPr>
        <w:rFonts w:hint="default" w:ascii="Symbol" w:hAnsi="Symbol"/>
      </w:rPr>
    </w:lvl>
    <w:lvl w:ilvl="4" w:tplc="15E42B78">
      <w:start w:val="1"/>
      <w:numFmt w:val="bullet"/>
      <w:lvlText w:val="o"/>
      <w:lvlJc w:val="left"/>
      <w:pPr>
        <w:ind w:left="3240" w:hanging="360"/>
      </w:pPr>
      <w:rPr>
        <w:rFonts w:hint="default" w:ascii="Courier New" w:hAnsi="Courier New"/>
      </w:rPr>
    </w:lvl>
    <w:lvl w:ilvl="5" w:tplc="168672F8">
      <w:start w:val="1"/>
      <w:numFmt w:val="bullet"/>
      <w:lvlText w:val=""/>
      <w:lvlJc w:val="left"/>
      <w:pPr>
        <w:ind w:left="3960" w:hanging="360"/>
      </w:pPr>
      <w:rPr>
        <w:rFonts w:hint="default" w:ascii="Wingdings" w:hAnsi="Wingdings"/>
      </w:rPr>
    </w:lvl>
    <w:lvl w:ilvl="6" w:tplc="EE109C7A">
      <w:start w:val="1"/>
      <w:numFmt w:val="bullet"/>
      <w:lvlText w:val=""/>
      <w:lvlJc w:val="left"/>
      <w:pPr>
        <w:ind w:left="4680" w:hanging="360"/>
      </w:pPr>
      <w:rPr>
        <w:rFonts w:hint="default" w:ascii="Symbol" w:hAnsi="Symbol"/>
      </w:rPr>
    </w:lvl>
    <w:lvl w:ilvl="7" w:tplc="736686E4">
      <w:start w:val="1"/>
      <w:numFmt w:val="bullet"/>
      <w:lvlText w:val="o"/>
      <w:lvlJc w:val="left"/>
      <w:pPr>
        <w:ind w:left="5400" w:hanging="360"/>
      </w:pPr>
      <w:rPr>
        <w:rFonts w:hint="default" w:ascii="Courier New" w:hAnsi="Courier New"/>
      </w:rPr>
    </w:lvl>
    <w:lvl w:ilvl="8" w:tplc="3F980A34">
      <w:start w:val="1"/>
      <w:numFmt w:val="bullet"/>
      <w:lvlText w:val=""/>
      <w:lvlJc w:val="left"/>
      <w:pPr>
        <w:ind w:left="6120" w:hanging="360"/>
      </w:pPr>
      <w:rPr>
        <w:rFonts w:hint="default" w:ascii="Wingdings" w:hAnsi="Wingdings"/>
      </w:rPr>
    </w:lvl>
  </w:abstractNum>
  <w:abstractNum w:abstractNumId="14" w15:restartNumberingAfterBreak="0">
    <w:nsid w:val="70E84AC5"/>
    <w:multiLevelType w:val="hybridMultilevel"/>
    <w:tmpl w:val="55CCF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5627EC3"/>
    <w:multiLevelType w:val="hybridMultilevel"/>
    <w:tmpl w:val="CA5CD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7D902C0"/>
    <w:multiLevelType w:val="hybridMultilevel"/>
    <w:tmpl w:val="83C8F37E"/>
    <w:lvl w:ilvl="0" w:tplc="C284BA00">
      <w:start w:val="1"/>
      <w:numFmt w:val="bullet"/>
      <w:lvlText w:val=""/>
      <w:lvlJc w:val="left"/>
      <w:pPr>
        <w:ind w:left="720" w:hanging="360"/>
      </w:pPr>
      <w:rPr>
        <w:rFonts w:hint="default" w:ascii="Symbol" w:hAnsi="Symbol"/>
      </w:rPr>
    </w:lvl>
    <w:lvl w:ilvl="1" w:tplc="0DF612A6">
      <w:start w:val="1"/>
      <w:numFmt w:val="bullet"/>
      <w:lvlText w:val="o"/>
      <w:lvlJc w:val="left"/>
      <w:pPr>
        <w:ind w:left="1440" w:hanging="360"/>
      </w:pPr>
      <w:rPr>
        <w:rFonts w:hint="default" w:ascii="Courier New" w:hAnsi="Courier New"/>
      </w:rPr>
    </w:lvl>
    <w:lvl w:ilvl="2" w:tplc="DE76F29A">
      <w:start w:val="1"/>
      <w:numFmt w:val="bullet"/>
      <w:lvlText w:val=""/>
      <w:lvlJc w:val="left"/>
      <w:pPr>
        <w:ind w:left="2160" w:hanging="360"/>
      </w:pPr>
      <w:rPr>
        <w:rFonts w:hint="default" w:ascii="Wingdings" w:hAnsi="Wingdings"/>
      </w:rPr>
    </w:lvl>
    <w:lvl w:ilvl="3" w:tplc="86920C66">
      <w:start w:val="1"/>
      <w:numFmt w:val="bullet"/>
      <w:lvlText w:val=""/>
      <w:lvlJc w:val="left"/>
      <w:pPr>
        <w:ind w:left="2880" w:hanging="360"/>
      </w:pPr>
      <w:rPr>
        <w:rFonts w:hint="default" w:ascii="Symbol" w:hAnsi="Symbol"/>
      </w:rPr>
    </w:lvl>
    <w:lvl w:ilvl="4" w:tplc="F3D27C00">
      <w:start w:val="1"/>
      <w:numFmt w:val="bullet"/>
      <w:lvlText w:val="o"/>
      <w:lvlJc w:val="left"/>
      <w:pPr>
        <w:ind w:left="3600" w:hanging="360"/>
      </w:pPr>
      <w:rPr>
        <w:rFonts w:hint="default" w:ascii="Courier New" w:hAnsi="Courier New"/>
      </w:rPr>
    </w:lvl>
    <w:lvl w:ilvl="5" w:tplc="7B107F44">
      <w:start w:val="1"/>
      <w:numFmt w:val="bullet"/>
      <w:lvlText w:val=""/>
      <w:lvlJc w:val="left"/>
      <w:pPr>
        <w:ind w:left="4320" w:hanging="360"/>
      </w:pPr>
      <w:rPr>
        <w:rFonts w:hint="default" w:ascii="Wingdings" w:hAnsi="Wingdings"/>
      </w:rPr>
    </w:lvl>
    <w:lvl w:ilvl="6" w:tplc="D2EE99A8">
      <w:start w:val="1"/>
      <w:numFmt w:val="bullet"/>
      <w:lvlText w:val=""/>
      <w:lvlJc w:val="left"/>
      <w:pPr>
        <w:ind w:left="5040" w:hanging="360"/>
      </w:pPr>
      <w:rPr>
        <w:rFonts w:hint="default" w:ascii="Symbol" w:hAnsi="Symbol"/>
      </w:rPr>
    </w:lvl>
    <w:lvl w:ilvl="7" w:tplc="5BAC4C6E">
      <w:start w:val="1"/>
      <w:numFmt w:val="bullet"/>
      <w:lvlText w:val="o"/>
      <w:lvlJc w:val="left"/>
      <w:pPr>
        <w:ind w:left="5760" w:hanging="360"/>
      </w:pPr>
      <w:rPr>
        <w:rFonts w:hint="default" w:ascii="Courier New" w:hAnsi="Courier New"/>
      </w:rPr>
    </w:lvl>
    <w:lvl w:ilvl="8" w:tplc="744033EA">
      <w:start w:val="1"/>
      <w:numFmt w:val="bullet"/>
      <w:lvlText w:val=""/>
      <w:lvlJc w:val="left"/>
      <w:pPr>
        <w:ind w:left="6480" w:hanging="360"/>
      </w:pPr>
      <w:rPr>
        <w:rFonts w:hint="default" w:ascii="Wingdings" w:hAnsi="Wingdings"/>
      </w:rPr>
    </w:lvl>
  </w:abstractNum>
  <w:abstractNum w:abstractNumId="17" w15:restartNumberingAfterBreak="0">
    <w:nsid w:val="7F454054"/>
    <w:multiLevelType w:val="hybridMultilevel"/>
    <w:tmpl w:val="BDB8BF2A"/>
    <w:lvl w:ilvl="0" w:tplc="2D6C133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523476109">
    <w:abstractNumId w:val="16"/>
  </w:num>
  <w:num w:numId="2" w16cid:durableId="375349789">
    <w:abstractNumId w:val="17"/>
  </w:num>
  <w:num w:numId="3" w16cid:durableId="465202193">
    <w:abstractNumId w:val="13"/>
  </w:num>
  <w:num w:numId="4" w16cid:durableId="1429812816">
    <w:abstractNumId w:val="12"/>
  </w:num>
  <w:num w:numId="5" w16cid:durableId="647319162">
    <w:abstractNumId w:val="10"/>
  </w:num>
  <w:num w:numId="6" w16cid:durableId="1103187520">
    <w:abstractNumId w:val="1"/>
  </w:num>
  <w:num w:numId="7" w16cid:durableId="819806830">
    <w:abstractNumId w:val="6"/>
  </w:num>
  <w:num w:numId="8" w16cid:durableId="1376469197">
    <w:abstractNumId w:val="9"/>
  </w:num>
  <w:num w:numId="9" w16cid:durableId="134493270">
    <w:abstractNumId w:val="2"/>
  </w:num>
  <w:num w:numId="10" w16cid:durableId="261228276">
    <w:abstractNumId w:val="11"/>
  </w:num>
  <w:num w:numId="11" w16cid:durableId="1095784023">
    <w:abstractNumId w:val="4"/>
  </w:num>
  <w:num w:numId="12" w16cid:durableId="1248926547">
    <w:abstractNumId w:val="15"/>
  </w:num>
  <w:num w:numId="13" w16cid:durableId="957613025">
    <w:abstractNumId w:val="14"/>
  </w:num>
  <w:num w:numId="14" w16cid:durableId="269699940">
    <w:abstractNumId w:val="8"/>
  </w:num>
  <w:num w:numId="15" w16cid:durableId="258026992">
    <w:abstractNumId w:val="0"/>
  </w:num>
  <w:num w:numId="16" w16cid:durableId="778184613">
    <w:abstractNumId w:val="3"/>
  </w:num>
  <w:num w:numId="17" w16cid:durableId="71199812">
    <w:abstractNumId w:val="7"/>
  </w:num>
  <w:num w:numId="18" w16cid:durableId="199775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9175E"/>
    <w:rsid w:val="000B07BB"/>
    <w:rsid w:val="000B26D5"/>
    <w:rsid w:val="000B6950"/>
    <w:rsid w:val="000D10BD"/>
    <w:rsid w:val="000E6B14"/>
    <w:rsid w:val="000F0D56"/>
    <w:rsid w:val="0011025D"/>
    <w:rsid w:val="00121DBD"/>
    <w:rsid w:val="00126D4D"/>
    <w:rsid w:val="00171454"/>
    <w:rsid w:val="001843C0"/>
    <w:rsid w:val="001A5BEC"/>
    <w:rsid w:val="001A6827"/>
    <w:rsid w:val="001C1914"/>
    <w:rsid w:val="001D4CB7"/>
    <w:rsid w:val="001E02F9"/>
    <w:rsid w:val="001E3BB3"/>
    <w:rsid w:val="001E7853"/>
    <w:rsid w:val="001F54AD"/>
    <w:rsid w:val="00221260"/>
    <w:rsid w:val="00225875"/>
    <w:rsid w:val="00250A05"/>
    <w:rsid w:val="002808DD"/>
    <w:rsid w:val="00283015"/>
    <w:rsid w:val="002901FC"/>
    <w:rsid w:val="0029399A"/>
    <w:rsid w:val="002A1022"/>
    <w:rsid w:val="002A2925"/>
    <w:rsid w:val="002B77D7"/>
    <w:rsid w:val="002B7D49"/>
    <w:rsid w:val="002C2BE0"/>
    <w:rsid w:val="002C4EDB"/>
    <w:rsid w:val="002D0D64"/>
    <w:rsid w:val="002F5021"/>
    <w:rsid w:val="00300CD7"/>
    <w:rsid w:val="00305CAC"/>
    <w:rsid w:val="00315EC9"/>
    <w:rsid w:val="003441C8"/>
    <w:rsid w:val="00344430"/>
    <w:rsid w:val="00351C8B"/>
    <w:rsid w:val="003521AC"/>
    <w:rsid w:val="003847E9"/>
    <w:rsid w:val="003B6547"/>
    <w:rsid w:val="003C1751"/>
    <w:rsid w:val="003C333F"/>
    <w:rsid w:val="003C4C0C"/>
    <w:rsid w:val="00411115"/>
    <w:rsid w:val="004426DF"/>
    <w:rsid w:val="00472D56"/>
    <w:rsid w:val="004F0944"/>
    <w:rsid w:val="004F78E2"/>
    <w:rsid w:val="0050469A"/>
    <w:rsid w:val="00546F2D"/>
    <w:rsid w:val="00554AE1"/>
    <w:rsid w:val="005836D8"/>
    <w:rsid w:val="005C480F"/>
    <w:rsid w:val="005F730C"/>
    <w:rsid w:val="00607037"/>
    <w:rsid w:val="00616562"/>
    <w:rsid w:val="00643CB0"/>
    <w:rsid w:val="006552EA"/>
    <w:rsid w:val="006575D8"/>
    <w:rsid w:val="00666F35"/>
    <w:rsid w:val="0066704F"/>
    <w:rsid w:val="006705EB"/>
    <w:rsid w:val="00690A5A"/>
    <w:rsid w:val="006B1181"/>
    <w:rsid w:val="006C0349"/>
    <w:rsid w:val="006D03D9"/>
    <w:rsid w:val="006D1D89"/>
    <w:rsid w:val="00701FD9"/>
    <w:rsid w:val="0071013F"/>
    <w:rsid w:val="00710471"/>
    <w:rsid w:val="00717049"/>
    <w:rsid w:val="0072007A"/>
    <w:rsid w:val="00723C5E"/>
    <w:rsid w:val="007333D7"/>
    <w:rsid w:val="00750062"/>
    <w:rsid w:val="00756E9D"/>
    <w:rsid w:val="00770236"/>
    <w:rsid w:val="00770434"/>
    <w:rsid w:val="007726F2"/>
    <w:rsid w:val="00790728"/>
    <w:rsid w:val="00797B9A"/>
    <w:rsid w:val="007A31A9"/>
    <w:rsid w:val="007B39B5"/>
    <w:rsid w:val="007D5536"/>
    <w:rsid w:val="00804540"/>
    <w:rsid w:val="00805A2B"/>
    <w:rsid w:val="00813546"/>
    <w:rsid w:val="008141E6"/>
    <w:rsid w:val="008372B2"/>
    <w:rsid w:val="00847AD6"/>
    <w:rsid w:val="00881F21"/>
    <w:rsid w:val="00882159"/>
    <w:rsid w:val="008B213B"/>
    <w:rsid w:val="008D5A4B"/>
    <w:rsid w:val="008E4866"/>
    <w:rsid w:val="008F3A26"/>
    <w:rsid w:val="00960FF4"/>
    <w:rsid w:val="00966866"/>
    <w:rsid w:val="00981BF7"/>
    <w:rsid w:val="009854AD"/>
    <w:rsid w:val="009A2538"/>
    <w:rsid w:val="009B42E1"/>
    <w:rsid w:val="00A0268F"/>
    <w:rsid w:val="00A041A1"/>
    <w:rsid w:val="00A07EFA"/>
    <w:rsid w:val="00A43026"/>
    <w:rsid w:val="00A55EC6"/>
    <w:rsid w:val="00A95070"/>
    <w:rsid w:val="00A9756A"/>
    <w:rsid w:val="00AA3D02"/>
    <w:rsid w:val="00AB0272"/>
    <w:rsid w:val="00AD4D79"/>
    <w:rsid w:val="00AE10F8"/>
    <w:rsid w:val="00AE7372"/>
    <w:rsid w:val="00B20654"/>
    <w:rsid w:val="00B40557"/>
    <w:rsid w:val="00B409C1"/>
    <w:rsid w:val="00B57268"/>
    <w:rsid w:val="00B61CAF"/>
    <w:rsid w:val="00B65320"/>
    <w:rsid w:val="00B835D7"/>
    <w:rsid w:val="00B86494"/>
    <w:rsid w:val="00B92D3A"/>
    <w:rsid w:val="00B941B7"/>
    <w:rsid w:val="00B9781B"/>
    <w:rsid w:val="00BA3DB8"/>
    <w:rsid w:val="00BC13AF"/>
    <w:rsid w:val="00BC1F22"/>
    <w:rsid w:val="00BC493B"/>
    <w:rsid w:val="00BE313B"/>
    <w:rsid w:val="00C01FEA"/>
    <w:rsid w:val="00C36C6C"/>
    <w:rsid w:val="00C3736E"/>
    <w:rsid w:val="00C40A7F"/>
    <w:rsid w:val="00C853F7"/>
    <w:rsid w:val="00CA33A3"/>
    <w:rsid w:val="00CB7F7E"/>
    <w:rsid w:val="00CD0305"/>
    <w:rsid w:val="00CF2B5F"/>
    <w:rsid w:val="00D11CE2"/>
    <w:rsid w:val="00D12A32"/>
    <w:rsid w:val="00D12DB9"/>
    <w:rsid w:val="00D21C74"/>
    <w:rsid w:val="00D24036"/>
    <w:rsid w:val="00D51C75"/>
    <w:rsid w:val="00D524F1"/>
    <w:rsid w:val="00D55D0B"/>
    <w:rsid w:val="00D80266"/>
    <w:rsid w:val="00D8634C"/>
    <w:rsid w:val="00D9743A"/>
    <w:rsid w:val="00DA2C40"/>
    <w:rsid w:val="00DB2720"/>
    <w:rsid w:val="00DC397D"/>
    <w:rsid w:val="00DD1B10"/>
    <w:rsid w:val="00DE196E"/>
    <w:rsid w:val="00DE620C"/>
    <w:rsid w:val="00E124BB"/>
    <w:rsid w:val="00E172D1"/>
    <w:rsid w:val="00E2278A"/>
    <w:rsid w:val="00E279CB"/>
    <w:rsid w:val="00E45F8F"/>
    <w:rsid w:val="00E602D3"/>
    <w:rsid w:val="00E75370"/>
    <w:rsid w:val="00E81BB0"/>
    <w:rsid w:val="00E846E4"/>
    <w:rsid w:val="00E93C7B"/>
    <w:rsid w:val="00EA5588"/>
    <w:rsid w:val="00EB0445"/>
    <w:rsid w:val="00EC38D8"/>
    <w:rsid w:val="00EE0B16"/>
    <w:rsid w:val="00EE144A"/>
    <w:rsid w:val="00EF45EC"/>
    <w:rsid w:val="00F00E43"/>
    <w:rsid w:val="00F01F1D"/>
    <w:rsid w:val="00F16CCE"/>
    <w:rsid w:val="00F220DD"/>
    <w:rsid w:val="00F44A5B"/>
    <w:rsid w:val="00F47F3A"/>
    <w:rsid w:val="00F5656C"/>
    <w:rsid w:val="00F9704F"/>
    <w:rsid w:val="00FA1080"/>
    <w:rsid w:val="00FD59FF"/>
    <w:rsid w:val="00FE0028"/>
    <w:rsid w:val="00FF549F"/>
    <w:rsid w:val="00FF68FE"/>
    <w:rsid w:val="0143139F"/>
    <w:rsid w:val="0AE460FA"/>
    <w:rsid w:val="0FB7D21D"/>
    <w:rsid w:val="1DF678E4"/>
    <w:rsid w:val="326C7575"/>
    <w:rsid w:val="488D9554"/>
    <w:rsid w:val="54B3FA06"/>
    <w:rsid w:val="6C3113FE"/>
    <w:rsid w:val="6C6F94F1"/>
    <w:rsid w:val="73ED99EA"/>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FB7D21D"/>
  </w:style>
  <w:style w:type="character" w:styleId="eop" w:customStyle="1">
    <w:name w:val="eop"/>
    <w:basedOn w:val="DefaultParagraphFont"/>
    <w:rsid w:val="0FB7D21D"/>
  </w:style>
  <w:style w:type="paragraph" w:styleId="paragraph" w:customStyle="1">
    <w:name w:val="paragraph"/>
    <w:basedOn w:val="Normal"/>
    <w:rsid w:val="0FB7D21D"/>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3B65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917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eadingrockets.org/topics/about-reading/articles/simple-view-readin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ohio.gov/getattachment/Topics/Learning-in-Ohio/Literacy/Ohios-Plan-to-Raise-Literacy-Achievement.pdf.aspx#page=34"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ohio.gov/getattachment/Topics/Learning-in-Ohio/Literacy/Ohios-Plan-to-Raise-Literacy-Achievement.pdf.aspx#page=23"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D51CA879-BADF-4FDC-9E44-C1BA2664B3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12</revision>
  <dcterms:created xsi:type="dcterms:W3CDTF">2024-08-20T18:38:00.0000000Z</dcterms:created>
  <dcterms:modified xsi:type="dcterms:W3CDTF">2024-10-31T16:28:33.1315803Z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