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6.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707F6" w14:textId="3BB11715" w:rsidR="00C268F3" w:rsidRDefault="003A4BF1" w:rsidP="00373309">
      <w:pPr>
        <w:pStyle w:val="Heading1"/>
      </w:pPr>
      <w:r w:rsidRPr="00B554C4">
        <w:t xml:space="preserve">Indicator </w:t>
      </w:r>
      <w:r w:rsidR="007F0015">
        <w:t>14</w:t>
      </w:r>
      <w:r w:rsidR="00053C19">
        <w:t>: Postschool Outcomes</w:t>
      </w:r>
      <w:r w:rsidR="007F0015">
        <w:t xml:space="preserve"> </w:t>
      </w:r>
      <w:r w:rsidR="00C4793D" w:rsidRPr="00B554C4">
        <w:t>Fact Sheet</w:t>
      </w:r>
    </w:p>
    <w:p w14:paraId="475FDCE0" w14:textId="19100E38" w:rsidR="00F81F73" w:rsidRDefault="000D1016" w:rsidP="00B25028">
      <w:pPr>
        <w:pStyle w:val="Heading2"/>
      </w:pPr>
      <w:r>
        <w:t>What does this indicator measure?</w:t>
      </w:r>
    </w:p>
    <w:p w14:paraId="07E59D82" w14:textId="57575139" w:rsidR="000D08C3" w:rsidRDefault="009E6C82" w:rsidP="002B213C">
      <w:r>
        <w:t>Indicator 14 measures the percentage of youth who are no longer in secondary school, had</w:t>
      </w:r>
      <w:r w:rsidR="00BD366C">
        <w:t xml:space="preserve"> </w:t>
      </w:r>
      <w:r w:rsidR="00C94E46">
        <w:t xml:space="preserve">Individualized Education Programs </w:t>
      </w:r>
      <w:r w:rsidR="00BD366C">
        <w:t>(</w:t>
      </w:r>
      <w:r>
        <w:t>IEPs</w:t>
      </w:r>
      <w:r w:rsidR="00BD366C">
        <w:t>)</w:t>
      </w:r>
      <w:r>
        <w:t xml:space="preserve"> in effect at the time they left school and were: </w:t>
      </w:r>
    </w:p>
    <w:p w14:paraId="5CAF4430" w14:textId="77777777" w:rsidR="00497C92" w:rsidRDefault="009E6C82" w:rsidP="0043433E">
      <w:pPr>
        <w:pStyle w:val="ListParagraph"/>
        <w:numPr>
          <w:ilvl w:val="0"/>
          <w:numId w:val="17"/>
        </w:numPr>
        <w:spacing w:before="120"/>
        <w:ind w:left="360" w:firstLine="0"/>
        <w:contextualSpacing w:val="0"/>
      </w:pPr>
      <w:r w:rsidRPr="00FB75C1">
        <w:rPr>
          <w:b/>
          <w:bCs/>
        </w:rPr>
        <w:t xml:space="preserve">Enrolled in higher education within one year of leaving high </w:t>
      </w:r>
      <w:r w:rsidR="006728D6" w:rsidRPr="00FB75C1">
        <w:rPr>
          <w:b/>
          <w:bCs/>
        </w:rPr>
        <w:t>school</w:t>
      </w:r>
      <w:r w:rsidR="006728D6">
        <w:t>.</w:t>
      </w:r>
      <w:r>
        <w:t xml:space="preserve"> </w:t>
      </w:r>
      <w:bookmarkStart w:id="0" w:name="_Hlk83035312"/>
    </w:p>
    <w:p w14:paraId="3BF4405E" w14:textId="21CED01C" w:rsidR="00497C92" w:rsidRDefault="00497C92" w:rsidP="0043433E">
      <w:pPr>
        <w:pStyle w:val="ListParagraph"/>
        <w:spacing w:before="120"/>
        <w:ind w:left="360" w:firstLine="360"/>
        <w:contextualSpacing w:val="0"/>
      </w:pPr>
      <w:r>
        <w:t>To calculate indicator 14a:</w:t>
      </w:r>
    </w:p>
    <w:p w14:paraId="245631B6" w14:textId="0DF5BDB2" w:rsidR="00497C92" w:rsidRPr="005B13C4" w:rsidRDefault="00497C92" w:rsidP="0043433E">
      <w:pPr>
        <w:pStyle w:val="ListParagraph"/>
        <w:numPr>
          <w:ilvl w:val="1"/>
          <w:numId w:val="30"/>
        </w:numPr>
        <w:spacing w:before="120"/>
        <w:contextualSpacing w:val="0"/>
      </w:pPr>
      <w:bookmarkStart w:id="1" w:name="_Hlk83028922"/>
      <w:r>
        <w:t>Take the n</w:t>
      </w:r>
      <w:r w:rsidRPr="005B13C4">
        <w:t xml:space="preserve">umber of youth </w:t>
      </w:r>
      <w:r w:rsidRPr="00497C92">
        <w:t xml:space="preserve">who are no longer in secondary school, had IEPs in effect at the time they left school and were </w:t>
      </w:r>
      <w:r w:rsidRPr="004E0609">
        <w:rPr>
          <w:i/>
          <w:iCs/>
        </w:rPr>
        <w:t>enrolled in higher education</w:t>
      </w:r>
      <w:r w:rsidRPr="00497C92">
        <w:t xml:space="preserve"> within one year of leaving high school</w:t>
      </w:r>
      <w:r>
        <w:t xml:space="preserve">; </w:t>
      </w:r>
    </w:p>
    <w:p w14:paraId="19BDEB9C" w14:textId="39DC9D44" w:rsidR="00497C92" w:rsidRDefault="00497C92" w:rsidP="0043433E">
      <w:pPr>
        <w:pStyle w:val="ListParagraph"/>
        <w:numPr>
          <w:ilvl w:val="1"/>
          <w:numId w:val="30"/>
        </w:numPr>
        <w:spacing w:before="120"/>
        <w:contextualSpacing w:val="0"/>
      </w:pPr>
      <w:r>
        <w:t>Divide that number by the n</w:t>
      </w:r>
      <w:r w:rsidRPr="0023033C">
        <w:t xml:space="preserve">umber </w:t>
      </w:r>
      <w:r>
        <w:t xml:space="preserve">of </w:t>
      </w:r>
      <w:r w:rsidRPr="00497C92">
        <w:t>respondent youth who are no longer in secondary school and had IEPs in effect at the time they left school</w:t>
      </w:r>
      <w:r w:rsidR="004E0609">
        <w:t>;</w:t>
      </w:r>
    </w:p>
    <w:p w14:paraId="147DC6CB" w14:textId="4DFD1A1A" w:rsidR="0070705A" w:rsidRPr="0023033C" w:rsidRDefault="0070705A" w:rsidP="0043433E">
      <w:pPr>
        <w:pStyle w:val="ListParagraph"/>
        <w:numPr>
          <w:ilvl w:val="1"/>
          <w:numId w:val="30"/>
        </w:numPr>
        <w:spacing w:before="120"/>
        <w:contextualSpacing w:val="0"/>
      </w:pPr>
      <w:r>
        <w:t>Multiply that number by 100</w:t>
      </w:r>
      <w:r w:rsidR="004E0609">
        <w:t>;</w:t>
      </w:r>
    </w:p>
    <w:p w14:paraId="443EE56C" w14:textId="423F537E" w:rsidR="00497C92" w:rsidRDefault="00497C92" w:rsidP="0043433E">
      <w:pPr>
        <w:pStyle w:val="ListParagraph"/>
        <w:numPr>
          <w:ilvl w:val="1"/>
          <w:numId w:val="30"/>
        </w:numPr>
        <w:spacing w:before="120"/>
        <w:contextualSpacing w:val="0"/>
      </w:pPr>
      <w:r>
        <w:t>The result is the p</w:t>
      </w:r>
      <w:r w:rsidRPr="0023033C">
        <w:t xml:space="preserve">ercentage of youth </w:t>
      </w:r>
      <w:r>
        <w:t>with IEPs enrolled in higher education within one year of leaving high school.</w:t>
      </w:r>
      <w:bookmarkEnd w:id="0"/>
      <w:bookmarkEnd w:id="1"/>
    </w:p>
    <w:p w14:paraId="5AFC89F6" w14:textId="77777777" w:rsidR="00FB75C1" w:rsidRPr="00FB75C1" w:rsidRDefault="009E6C82" w:rsidP="0043433E">
      <w:pPr>
        <w:pStyle w:val="ListParagraph"/>
        <w:numPr>
          <w:ilvl w:val="0"/>
          <w:numId w:val="17"/>
        </w:numPr>
        <w:spacing w:before="120"/>
        <w:contextualSpacing w:val="0"/>
      </w:pPr>
      <w:r w:rsidRPr="00FB75C1">
        <w:rPr>
          <w:b/>
          <w:bCs/>
        </w:rPr>
        <w:t>Enrolled in higher education or competitively employed within one year of leaving high school</w:t>
      </w:r>
      <w:r w:rsidR="00FB75C1">
        <w:rPr>
          <w:b/>
          <w:bCs/>
        </w:rPr>
        <w:t>.</w:t>
      </w:r>
    </w:p>
    <w:p w14:paraId="73190F51" w14:textId="77777777" w:rsidR="00FB75C1" w:rsidRPr="00FB75C1" w:rsidRDefault="00FB75C1" w:rsidP="0043433E">
      <w:pPr>
        <w:pStyle w:val="ListParagraph"/>
        <w:spacing w:before="120"/>
        <w:contextualSpacing w:val="0"/>
      </w:pPr>
      <w:r w:rsidRPr="00FB75C1">
        <w:t>To calculate indicator 14b:</w:t>
      </w:r>
    </w:p>
    <w:p w14:paraId="01A917EA" w14:textId="277B08B1" w:rsidR="00FB75C1" w:rsidRPr="005B13C4" w:rsidRDefault="00FB75C1" w:rsidP="0043433E">
      <w:pPr>
        <w:pStyle w:val="ListParagraph"/>
        <w:numPr>
          <w:ilvl w:val="1"/>
          <w:numId w:val="17"/>
        </w:numPr>
        <w:spacing w:before="120"/>
        <w:contextualSpacing w:val="0"/>
      </w:pPr>
      <w:r>
        <w:t>Take the n</w:t>
      </w:r>
      <w:r w:rsidRPr="005B13C4">
        <w:t xml:space="preserve">umber of </w:t>
      </w:r>
      <w:proofErr w:type="gramStart"/>
      <w:r w:rsidRPr="005B13C4">
        <w:t>youth</w:t>
      </w:r>
      <w:proofErr w:type="gramEnd"/>
      <w:r w:rsidRPr="005B13C4">
        <w:t xml:space="preserve"> </w:t>
      </w:r>
      <w:r w:rsidR="00497C92" w:rsidRPr="00497C92">
        <w:t xml:space="preserve">who are no longer in secondary school, </w:t>
      </w:r>
      <w:r w:rsidRPr="00FB75C1">
        <w:t xml:space="preserve">had IEPs in effect at the time they left school and were </w:t>
      </w:r>
      <w:r w:rsidRPr="004E0609">
        <w:rPr>
          <w:i/>
          <w:iCs/>
        </w:rPr>
        <w:t>enrolled in higher education</w:t>
      </w:r>
      <w:r w:rsidRPr="00FB75C1">
        <w:t xml:space="preserve"> </w:t>
      </w:r>
      <w:r w:rsidRPr="00FB75C1">
        <w:rPr>
          <w:b/>
          <w:bCs/>
        </w:rPr>
        <w:t>or</w:t>
      </w:r>
      <w:r w:rsidRPr="00FB75C1">
        <w:t xml:space="preserve"> </w:t>
      </w:r>
      <w:r w:rsidRPr="004E0609">
        <w:rPr>
          <w:i/>
          <w:iCs/>
        </w:rPr>
        <w:t>competitively employed</w:t>
      </w:r>
      <w:r w:rsidRPr="004E0609">
        <w:t xml:space="preserve"> </w:t>
      </w:r>
      <w:r w:rsidRPr="00FB75C1">
        <w:t>within one year of leaving high school</w:t>
      </w:r>
      <w:r>
        <w:t xml:space="preserve">; </w:t>
      </w:r>
    </w:p>
    <w:p w14:paraId="4F070F26" w14:textId="1B63D2CC" w:rsidR="00FB75C1" w:rsidRDefault="00FB75C1" w:rsidP="0043433E">
      <w:pPr>
        <w:pStyle w:val="ListParagraph"/>
        <w:numPr>
          <w:ilvl w:val="1"/>
          <w:numId w:val="17"/>
        </w:numPr>
        <w:spacing w:before="120"/>
        <w:contextualSpacing w:val="0"/>
      </w:pPr>
      <w:r>
        <w:t>Divide that number by the n</w:t>
      </w:r>
      <w:r w:rsidRPr="0023033C">
        <w:t xml:space="preserve">umber </w:t>
      </w:r>
      <w:r>
        <w:t xml:space="preserve">of </w:t>
      </w:r>
      <w:r w:rsidR="00497C92" w:rsidRPr="00497C92">
        <w:t>respondent youth who are no longer in secondary school and had IEPs in effect at the time they left school</w:t>
      </w:r>
      <w:r w:rsidR="004E0609">
        <w:t>;</w:t>
      </w:r>
    </w:p>
    <w:p w14:paraId="7DFA1E41" w14:textId="4B2F34E0" w:rsidR="0070705A" w:rsidRPr="0023033C" w:rsidRDefault="0070705A" w:rsidP="0043433E">
      <w:pPr>
        <w:pStyle w:val="ListParagraph"/>
        <w:numPr>
          <w:ilvl w:val="1"/>
          <w:numId w:val="17"/>
        </w:numPr>
        <w:spacing w:before="120"/>
        <w:contextualSpacing w:val="0"/>
      </w:pPr>
      <w:r>
        <w:t>Multiply that number by 100</w:t>
      </w:r>
      <w:r w:rsidR="004E0609">
        <w:t>;</w:t>
      </w:r>
    </w:p>
    <w:p w14:paraId="55E00027" w14:textId="053B557C" w:rsidR="009E6C82" w:rsidRDefault="00FB75C1" w:rsidP="0043433E">
      <w:pPr>
        <w:pStyle w:val="ListParagraph"/>
        <w:numPr>
          <w:ilvl w:val="1"/>
          <w:numId w:val="17"/>
        </w:numPr>
        <w:spacing w:before="120"/>
        <w:contextualSpacing w:val="0"/>
      </w:pPr>
      <w:r>
        <w:t>The result is the p</w:t>
      </w:r>
      <w:r w:rsidRPr="0023033C">
        <w:t xml:space="preserve">ercentage of youth </w:t>
      </w:r>
      <w:r>
        <w:t xml:space="preserve">with IEPs enrolled in higher education </w:t>
      </w:r>
      <w:r w:rsidR="008A0317">
        <w:t xml:space="preserve">or competitively employed </w:t>
      </w:r>
      <w:r>
        <w:t>within one year of leaving high school.</w:t>
      </w:r>
    </w:p>
    <w:p w14:paraId="41485FCA" w14:textId="6D0C49E4" w:rsidR="009E6C82" w:rsidRDefault="009E6C82" w:rsidP="0043433E">
      <w:pPr>
        <w:pStyle w:val="ListParagraph"/>
        <w:numPr>
          <w:ilvl w:val="0"/>
          <w:numId w:val="17"/>
        </w:numPr>
        <w:spacing w:before="120"/>
        <w:contextualSpacing w:val="0"/>
        <w:rPr>
          <w:b/>
          <w:bCs/>
        </w:rPr>
      </w:pPr>
      <w:r w:rsidRPr="0043433E">
        <w:rPr>
          <w:b/>
          <w:bCs/>
        </w:rPr>
        <w:t xml:space="preserve">Enrolled in higher education or in some other postsecondary education or training program or competitively employed or in some other employment within one year of leaving high school. </w:t>
      </w:r>
    </w:p>
    <w:p w14:paraId="651B6059" w14:textId="242B3CCF" w:rsidR="0043433E" w:rsidRPr="00FB75C1" w:rsidRDefault="0043433E" w:rsidP="0043433E">
      <w:pPr>
        <w:pStyle w:val="ListParagraph"/>
        <w:spacing w:before="120"/>
        <w:contextualSpacing w:val="0"/>
      </w:pPr>
      <w:r w:rsidRPr="00FB75C1">
        <w:t>To calculate indicator 14</w:t>
      </w:r>
      <w:r>
        <w:t>c</w:t>
      </w:r>
      <w:r w:rsidRPr="00FB75C1">
        <w:t>:</w:t>
      </w:r>
    </w:p>
    <w:p w14:paraId="664C2A8B" w14:textId="5C17539C" w:rsidR="0043433E" w:rsidRPr="005B13C4" w:rsidRDefault="0043433E" w:rsidP="0043433E">
      <w:pPr>
        <w:pStyle w:val="ListParagraph"/>
        <w:numPr>
          <w:ilvl w:val="1"/>
          <w:numId w:val="17"/>
        </w:numPr>
        <w:spacing w:before="120"/>
        <w:contextualSpacing w:val="0"/>
      </w:pPr>
      <w:r>
        <w:t>Take the n</w:t>
      </w:r>
      <w:r w:rsidRPr="005B13C4">
        <w:t xml:space="preserve">umber of youth </w:t>
      </w:r>
      <w:r w:rsidR="00497C92" w:rsidRPr="00497C92">
        <w:t xml:space="preserve">who are no longer in secondary school, </w:t>
      </w:r>
      <w:r w:rsidRPr="0043433E">
        <w:t xml:space="preserve">had IEPs in effect at the time they left school and were </w:t>
      </w:r>
      <w:r w:rsidRPr="004E0609">
        <w:rPr>
          <w:i/>
          <w:iCs/>
        </w:rPr>
        <w:t>enrolled in higher education</w:t>
      </w:r>
      <w:r w:rsidRPr="0043433E">
        <w:t xml:space="preserve"> </w:t>
      </w:r>
      <w:r w:rsidRPr="0043433E">
        <w:rPr>
          <w:b/>
          <w:bCs/>
        </w:rPr>
        <w:t>or</w:t>
      </w:r>
      <w:r w:rsidRPr="0043433E">
        <w:t xml:space="preserve"> </w:t>
      </w:r>
      <w:r w:rsidRPr="004E0609">
        <w:rPr>
          <w:i/>
          <w:iCs/>
        </w:rPr>
        <w:t>competitively employed</w:t>
      </w:r>
      <w:r w:rsidRPr="0043433E">
        <w:t xml:space="preserve"> </w:t>
      </w:r>
      <w:r w:rsidRPr="0043433E">
        <w:rPr>
          <w:b/>
          <w:bCs/>
        </w:rPr>
        <w:t>or</w:t>
      </w:r>
      <w:r w:rsidRPr="0043433E">
        <w:t xml:space="preserve"> in some </w:t>
      </w:r>
      <w:r w:rsidRPr="004E0609">
        <w:rPr>
          <w:i/>
          <w:iCs/>
        </w:rPr>
        <w:t>other postsecondary education/ training/employment program</w:t>
      </w:r>
      <w:r w:rsidRPr="0043433E">
        <w:t xml:space="preserve"> within one year of leaving high school</w:t>
      </w:r>
      <w:r>
        <w:t xml:space="preserve">; </w:t>
      </w:r>
    </w:p>
    <w:p w14:paraId="13090C23" w14:textId="4D9BF7D2" w:rsidR="0043433E" w:rsidRDefault="0043433E" w:rsidP="0043433E">
      <w:pPr>
        <w:pStyle w:val="ListParagraph"/>
        <w:numPr>
          <w:ilvl w:val="1"/>
          <w:numId w:val="17"/>
        </w:numPr>
        <w:spacing w:before="120"/>
        <w:contextualSpacing w:val="0"/>
      </w:pPr>
      <w:r>
        <w:t>Divide that number by the n</w:t>
      </w:r>
      <w:r w:rsidRPr="0023033C">
        <w:t xml:space="preserve">umber </w:t>
      </w:r>
      <w:r>
        <w:t xml:space="preserve">of </w:t>
      </w:r>
      <w:r w:rsidR="00497C92" w:rsidRPr="00497C92">
        <w:t>respondent youth who are no longer in secondary school and had IEPs in effect at the time they left school</w:t>
      </w:r>
      <w:r w:rsidR="004E0609">
        <w:t>;</w:t>
      </w:r>
    </w:p>
    <w:p w14:paraId="5D2354EF" w14:textId="6A58B17B" w:rsidR="0043433E" w:rsidRPr="0023033C" w:rsidRDefault="0043433E" w:rsidP="0043433E">
      <w:pPr>
        <w:pStyle w:val="ListParagraph"/>
        <w:numPr>
          <w:ilvl w:val="1"/>
          <w:numId w:val="17"/>
        </w:numPr>
        <w:spacing w:before="120"/>
        <w:contextualSpacing w:val="0"/>
      </w:pPr>
      <w:r>
        <w:t>Multiply that number by 100</w:t>
      </w:r>
      <w:r w:rsidR="004E0609">
        <w:t>;</w:t>
      </w:r>
    </w:p>
    <w:p w14:paraId="2F7E33D6" w14:textId="679DA076" w:rsidR="0043433E" w:rsidRDefault="0043433E" w:rsidP="0043433E">
      <w:pPr>
        <w:pStyle w:val="ListParagraph"/>
        <w:numPr>
          <w:ilvl w:val="1"/>
          <w:numId w:val="17"/>
        </w:numPr>
        <w:spacing w:before="120"/>
        <w:contextualSpacing w:val="0"/>
      </w:pPr>
      <w:r>
        <w:t>The result is the p</w:t>
      </w:r>
      <w:r w:rsidRPr="0023033C">
        <w:t xml:space="preserve">ercentage of youth </w:t>
      </w:r>
      <w:r>
        <w:t xml:space="preserve">with IEPs enrolled in </w:t>
      </w:r>
      <w:r w:rsidRPr="0043433E">
        <w:t>higher education or in some other postsecondary education or training program or competitively employed or in some other employment within one year of leaving high school</w:t>
      </w:r>
      <w:r>
        <w:t>.</w:t>
      </w:r>
    </w:p>
    <w:p w14:paraId="77A3E1D3" w14:textId="2F868A08" w:rsidR="0043433E" w:rsidRPr="00C40307" w:rsidRDefault="00694FD3" w:rsidP="00694FD3">
      <w:r w:rsidRPr="00C40307">
        <w:t>Indicator 14 is cumulative, such that students included in indicator 14a also</w:t>
      </w:r>
      <w:r w:rsidR="004E0609">
        <w:t xml:space="preserve"> are</w:t>
      </w:r>
      <w:r w:rsidRPr="00C40307">
        <w:t xml:space="preserve"> included in 14b</w:t>
      </w:r>
      <w:r w:rsidR="00C40307" w:rsidRPr="00C40307">
        <w:t>; students included in 14b also</w:t>
      </w:r>
      <w:r w:rsidR="004E0609">
        <w:t xml:space="preserve"> are</w:t>
      </w:r>
      <w:r w:rsidR="00C40307" w:rsidRPr="00C40307">
        <w:t xml:space="preserve"> included in 14c. </w:t>
      </w:r>
    </w:p>
    <w:p w14:paraId="2CEBD535" w14:textId="77777777" w:rsidR="0027178C" w:rsidRDefault="0027178C">
      <w:pPr>
        <w:spacing w:after="0"/>
        <w:rPr>
          <w:b/>
          <w:bCs/>
        </w:rPr>
      </w:pPr>
      <w:r>
        <w:rPr>
          <w:b/>
          <w:bCs/>
        </w:rPr>
        <w:br w:type="page"/>
      </w:r>
    </w:p>
    <w:p w14:paraId="2FBFBFAA" w14:textId="69CDB89B" w:rsidR="00396DEA" w:rsidRDefault="00396DEA" w:rsidP="00396DEA">
      <w:pPr>
        <w:pStyle w:val="Heading2"/>
      </w:pPr>
      <w:r>
        <w:lastRenderedPageBreak/>
        <w:t>What are the data considerations?</w:t>
      </w:r>
    </w:p>
    <w:p w14:paraId="682E449B" w14:textId="77777777" w:rsidR="00C40307" w:rsidRDefault="00C40307" w:rsidP="00C40307">
      <w:pPr>
        <w:pStyle w:val="Heading3"/>
      </w:pPr>
      <w:r w:rsidRPr="002807B2">
        <w:t>Data Source</w:t>
      </w:r>
    </w:p>
    <w:p w14:paraId="222341E6" w14:textId="4573025B" w:rsidR="00C40307" w:rsidRDefault="00C40307" w:rsidP="00C40307">
      <w:r>
        <w:t xml:space="preserve">Indicator 14 is measured using two surveys: an exit survey conducted just </w:t>
      </w:r>
      <w:r w:rsidRPr="00AF601A">
        <w:t>prior to</w:t>
      </w:r>
      <w:r>
        <w:t xml:space="preserve"> exiting high school and a follow-up survey conducted one year after exiting high school. Ohio’s districts are divided into five cohorts in order to collect exit and follow-up surveys from their students with disabilities once every five years.</w:t>
      </w:r>
    </w:p>
    <w:p w14:paraId="3DA3E255" w14:textId="4DB9D2DB" w:rsidR="00C40307" w:rsidRPr="00396DEA" w:rsidRDefault="00C40307" w:rsidP="00C40307">
      <w:pPr>
        <w:pStyle w:val="Heading3"/>
      </w:pPr>
      <w:r w:rsidRPr="00396DEA">
        <w:t xml:space="preserve">How has this </w:t>
      </w:r>
      <w:r w:rsidR="00524B8D">
        <w:t>I</w:t>
      </w:r>
      <w:r w:rsidRPr="00396DEA">
        <w:t xml:space="preserve">ndicator </w:t>
      </w:r>
      <w:r w:rsidR="00524B8D">
        <w:t>C</w:t>
      </w:r>
      <w:r w:rsidRPr="00396DEA">
        <w:t>hanged?</w:t>
      </w:r>
    </w:p>
    <w:p w14:paraId="532E9F2F" w14:textId="645155EE" w:rsidR="00C40307" w:rsidRPr="00E510E2" w:rsidRDefault="00C40307" w:rsidP="00C40307">
      <w:pPr>
        <w:pStyle w:val="ListParagraph"/>
        <w:numPr>
          <w:ilvl w:val="0"/>
          <w:numId w:val="22"/>
        </w:numPr>
        <w:spacing w:before="120"/>
        <w:contextualSpacing w:val="0"/>
      </w:pPr>
      <w:r w:rsidRPr="00E510E2">
        <w:t>In 2018-</w:t>
      </w:r>
      <w:r w:rsidR="007E1B30">
        <w:t>20</w:t>
      </w:r>
      <w:r w:rsidRPr="00E510E2">
        <w:t xml:space="preserve">19, Ohio updated the definition of “competitive employment” to align with the federal definition of “competitive integrated employment.” </w:t>
      </w:r>
      <w:r w:rsidRPr="001A6360">
        <w:rPr>
          <w:rFonts w:eastAsia="Times New Roman" w:cs="Arial"/>
          <w:color w:val="000000" w:themeColor="text1"/>
          <w:szCs w:val="16"/>
        </w:rPr>
        <w:t xml:space="preserve">Ohio reports in alignment with the term “competitive integrated employment” and its definition, in section 7(5) of the Rehabilitation Act, as amended by </w:t>
      </w:r>
      <w:r w:rsidR="003807A0">
        <w:rPr>
          <w:rFonts w:eastAsia="Times New Roman" w:cs="Arial"/>
          <w:color w:val="000000" w:themeColor="text1"/>
          <w:szCs w:val="16"/>
        </w:rPr>
        <w:t xml:space="preserve">the </w:t>
      </w:r>
      <w:r w:rsidRPr="001A6360">
        <w:rPr>
          <w:rFonts w:eastAsia="Times New Roman" w:cs="Arial"/>
          <w:color w:val="000000" w:themeColor="text1"/>
          <w:szCs w:val="16"/>
        </w:rPr>
        <w:t xml:space="preserve">Workforce Innovation and Opportunity Act (WIOA) and 34 CFR §361.5(c)(9). For the purpose of defining the rate of compensation for students working on a “part-time basis” under this category, </w:t>
      </w:r>
      <w:r>
        <w:rPr>
          <w:rFonts w:eastAsia="Times New Roman" w:cs="Arial"/>
          <w:color w:val="000000" w:themeColor="text1"/>
          <w:szCs w:val="16"/>
        </w:rPr>
        <w:t>the U.S. Department of Education</w:t>
      </w:r>
      <w:r w:rsidRPr="001A6360">
        <w:rPr>
          <w:rFonts w:eastAsia="Times New Roman" w:cs="Arial"/>
          <w:color w:val="000000" w:themeColor="text1"/>
          <w:szCs w:val="16"/>
        </w:rPr>
        <w:t xml:space="preserve"> maintains the standard of 20 hours a week for at least 90 days at any time in the year since leaving high school. This definition applies to military employment.</w:t>
      </w:r>
    </w:p>
    <w:p w14:paraId="3E9DB2C7" w14:textId="77777777" w:rsidR="00C40307" w:rsidRDefault="00C40307" w:rsidP="00C40307">
      <w:pPr>
        <w:pStyle w:val="ListParagraph"/>
        <w:numPr>
          <w:ilvl w:val="0"/>
          <w:numId w:val="22"/>
        </w:numPr>
        <w:spacing w:before="120"/>
        <w:contextualSpacing w:val="0"/>
      </w:pPr>
      <w:r>
        <w:t xml:space="preserve">States must prioritize representation by race and at least one other demographic variable in the annual survey sample used to measure this indicator. </w:t>
      </w:r>
    </w:p>
    <w:p w14:paraId="42E05AED" w14:textId="77777777" w:rsidR="00C40307" w:rsidRPr="00396DEA" w:rsidRDefault="00C40307" w:rsidP="00C40307">
      <w:pPr>
        <w:pStyle w:val="Heading3"/>
      </w:pPr>
      <w:r w:rsidRPr="00396DEA">
        <w:t>Data Notes</w:t>
      </w:r>
    </w:p>
    <w:p w14:paraId="340D1FBF" w14:textId="33B1B032" w:rsidR="00C40307" w:rsidRDefault="00C40307" w:rsidP="00C40307">
      <w:pPr>
        <w:pStyle w:val="ListParagraph"/>
        <w:numPr>
          <w:ilvl w:val="0"/>
          <w:numId w:val="18"/>
        </w:numPr>
        <w:spacing w:before="120"/>
        <w:contextualSpacing w:val="0"/>
      </w:pPr>
      <w:r>
        <w:t>“Enrolled in higher education” as used in measures 14a, 14b and 14c means youth have been enrolled on a full-time or part-time basis in a community college or college/university for at least one complete term, at any time in the year since leaving high school.</w:t>
      </w:r>
    </w:p>
    <w:p w14:paraId="7687C092" w14:textId="3CB737B6" w:rsidR="00C40307" w:rsidRDefault="00C40307" w:rsidP="00C40307">
      <w:pPr>
        <w:pStyle w:val="ListParagraph"/>
        <w:numPr>
          <w:ilvl w:val="0"/>
          <w:numId w:val="18"/>
        </w:numPr>
        <w:spacing w:before="120"/>
        <w:contextualSpacing w:val="0"/>
      </w:pPr>
      <w:r>
        <w:t>“Competitive employment” as used in measures 14b and 14c means “competitive integrated employment” or working at least</w:t>
      </w:r>
      <w:r w:rsidRPr="00E510E2">
        <w:t xml:space="preserve"> </w:t>
      </w:r>
      <w:r>
        <w:t xml:space="preserve">20 hours a week for at least 90 days at any time in the year since leaving high school, as well as the other conditions as defined </w:t>
      </w:r>
      <w:r w:rsidRPr="00E510E2">
        <w:rPr>
          <w:rFonts w:eastAsia="Times New Roman" w:cs="Arial"/>
          <w:color w:val="000000" w:themeColor="text1"/>
          <w:szCs w:val="16"/>
        </w:rPr>
        <w:t>in section 7(5) of the Rehabilitation Act, as amended by Workforce Innovation and Opportunity Act (WIOA)</w:t>
      </w:r>
      <w:r w:rsidR="00BE7588">
        <w:rPr>
          <w:rFonts w:eastAsia="Times New Roman" w:cs="Arial"/>
          <w:color w:val="000000" w:themeColor="text1"/>
          <w:szCs w:val="16"/>
        </w:rPr>
        <w:t xml:space="preserve"> </w:t>
      </w:r>
      <w:r w:rsidRPr="00E510E2">
        <w:rPr>
          <w:rFonts w:eastAsia="Times New Roman" w:cs="Arial"/>
          <w:color w:val="000000" w:themeColor="text1"/>
          <w:szCs w:val="16"/>
        </w:rPr>
        <w:t>and 34 CFR §361.5(c)(9).</w:t>
      </w:r>
    </w:p>
    <w:p w14:paraId="50F3873E" w14:textId="12D6782D" w:rsidR="00C40307" w:rsidRDefault="00C40307" w:rsidP="00C40307">
      <w:pPr>
        <w:pStyle w:val="ListParagraph"/>
        <w:numPr>
          <w:ilvl w:val="0"/>
          <w:numId w:val="18"/>
        </w:numPr>
        <w:spacing w:before="120"/>
        <w:contextualSpacing w:val="0"/>
      </w:pPr>
      <w:r>
        <w:t xml:space="preserve">“Enrolled in other postsecondary education or training” as used in measure 14c means youth have been enrolled on a full- or part-time basis for at least </w:t>
      </w:r>
      <w:r w:rsidR="00BE7588">
        <w:t>one</w:t>
      </w:r>
      <w:r>
        <w:t xml:space="preserve"> complete term at any time in the year since leaving high school in an education or training program. </w:t>
      </w:r>
    </w:p>
    <w:p w14:paraId="29982613" w14:textId="77777777" w:rsidR="00C40307" w:rsidRDefault="00C40307" w:rsidP="00C40307">
      <w:pPr>
        <w:pStyle w:val="ListParagraph"/>
        <w:numPr>
          <w:ilvl w:val="0"/>
          <w:numId w:val="18"/>
        </w:numPr>
        <w:spacing w:before="120"/>
        <w:contextualSpacing w:val="0"/>
      </w:pPr>
      <w:r>
        <w:t xml:space="preserve">“Some other employment” as used in measure 14c means youth have worked for pay or been self-employed for a period of at least 90 days at any time in the year since leaving high school. This includes working in a family business. </w:t>
      </w:r>
    </w:p>
    <w:p w14:paraId="4CF9647E" w14:textId="08E5AD4E" w:rsidR="00C40307" w:rsidRDefault="00C40307" w:rsidP="00C40307">
      <w:pPr>
        <w:pStyle w:val="ListParagraph"/>
        <w:numPr>
          <w:ilvl w:val="0"/>
          <w:numId w:val="18"/>
        </w:numPr>
        <w:spacing w:before="120"/>
        <w:contextualSpacing w:val="0"/>
      </w:pPr>
      <w:r>
        <w:t xml:space="preserve">Since this is a cumulative indicator, all youth reported under measure 14a </w:t>
      </w:r>
      <w:r w:rsidR="00924831">
        <w:t xml:space="preserve">also </w:t>
      </w:r>
      <w:r>
        <w:t xml:space="preserve">should be reported under measure 14b. All youth reported under measure 14b </w:t>
      </w:r>
      <w:r w:rsidR="00924831">
        <w:t xml:space="preserve">also </w:t>
      </w:r>
      <w:r>
        <w:t xml:space="preserve">should be reported under measure 14c. </w:t>
      </w:r>
    </w:p>
    <w:p w14:paraId="16911B74" w14:textId="6E3641D4" w:rsidR="00C40307" w:rsidRDefault="00C40307" w:rsidP="00C40307">
      <w:pPr>
        <w:pStyle w:val="ListParagraph"/>
        <w:numPr>
          <w:ilvl w:val="0"/>
          <w:numId w:val="18"/>
        </w:numPr>
        <w:spacing w:before="120"/>
        <w:contextualSpacing w:val="0"/>
      </w:pPr>
      <w:r>
        <w:t>Districts are selected to collect postschool outcomes surveys once every five years based on federal Annual Performance Report (APR) requirements.</w:t>
      </w:r>
    </w:p>
    <w:p w14:paraId="142FF13F" w14:textId="2E44A0F9" w:rsidR="00C40307" w:rsidRPr="00C40307" w:rsidRDefault="00C40307" w:rsidP="00C40307">
      <w:pPr>
        <w:pStyle w:val="ListParagraph"/>
        <w:numPr>
          <w:ilvl w:val="0"/>
          <w:numId w:val="18"/>
        </w:numPr>
      </w:pPr>
      <w:r>
        <w:t>The number of surveys requested from each district is based on the number necessary to derive a statewide sample that is representative of Ohio’s exiting students with disabilities.</w:t>
      </w:r>
    </w:p>
    <w:p w14:paraId="49881C0A" w14:textId="77777777" w:rsidR="00EC109D" w:rsidRDefault="00EC109D" w:rsidP="00945811"/>
    <w:p w14:paraId="2E31D7D4" w14:textId="77777777" w:rsidR="00EC109D" w:rsidRDefault="00EC109D">
      <w:pPr>
        <w:spacing w:after="0"/>
        <w:rPr>
          <w:rFonts w:cstheme="minorHAnsi"/>
          <w:b/>
          <w:caps/>
          <w:color w:val="4F81BD" w:themeColor="accent1"/>
          <w:sz w:val="24"/>
          <w:szCs w:val="24"/>
        </w:rPr>
      </w:pPr>
      <w:r>
        <w:br w:type="page"/>
      </w:r>
    </w:p>
    <w:p w14:paraId="401C990D" w14:textId="05A88CE5" w:rsidR="00881836" w:rsidRDefault="00881836" w:rsidP="00B25028">
      <w:pPr>
        <w:pStyle w:val="Heading2"/>
      </w:pPr>
      <w:r>
        <w:lastRenderedPageBreak/>
        <w:t>How has Ohio performed over time</w:t>
      </w:r>
      <w:r w:rsidR="008B1595">
        <w:t xml:space="preserve"> on indicator 14a</w:t>
      </w:r>
      <w:r>
        <w:t>?</w:t>
      </w:r>
    </w:p>
    <w:p w14:paraId="6319B1C5" w14:textId="360E050F" w:rsidR="00343411" w:rsidRDefault="009476B5" w:rsidP="00343411">
      <w:pPr>
        <w:keepNext/>
        <w:jc w:val="center"/>
      </w:pPr>
      <w:r>
        <w:rPr>
          <w:noProof/>
        </w:rPr>
        <w:drawing>
          <wp:inline distT="0" distB="0" distL="0" distR="0" wp14:anchorId="52E4F12E" wp14:editId="2C50D951">
            <wp:extent cx="6400800" cy="2743200"/>
            <wp:effectExtent l="0" t="0" r="0" b="0"/>
            <wp:docPr id="1" name="Chart 1" descr="Line graph showing Ohio's performance on indicator 14a over six years.">
              <a:extLst xmlns:a="http://schemas.openxmlformats.org/drawingml/2006/main">
                <a:ext uri="{FF2B5EF4-FFF2-40B4-BE49-F238E27FC236}">
                  <a16:creationId xmlns:a16="http://schemas.microsoft.com/office/drawing/2014/main" id="{87D42DA7-5876-4AB9-BE0F-99F1C947AC0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497EA40" w14:textId="1E89EFDB" w:rsidR="006728D6" w:rsidRPr="00343411" w:rsidRDefault="00343411" w:rsidP="00343411">
      <w:pPr>
        <w:pStyle w:val="Caption"/>
      </w:pPr>
      <w:r w:rsidRPr="00343411">
        <w:t xml:space="preserve">Figure </w:t>
      </w:r>
      <w:r>
        <w:fldChar w:fldCharType="begin"/>
      </w:r>
      <w:r>
        <w:instrText>SEQ Figure \* ARABIC</w:instrText>
      </w:r>
      <w:r>
        <w:fldChar w:fldCharType="separate"/>
      </w:r>
      <w:r w:rsidR="005152AA">
        <w:rPr>
          <w:noProof/>
        </w:rPr>
        <w:t>1</w:t>
      </w:r>
      <w:r>
        <w:fldChar w:fldCharType="end"/>
      </w:r>
      <w:r w:rsidRPr="00343411">
        <w:t>. Ohio’s percentage of students with disabilities enrolled in higher education within one year of leaving high school increased from 29.37% in 2014-</w:t>
      </w:r>
      <w:r w:rsidR="00C55690">
        <w:t>20</w:t>
      </w:r>
      <w:r w:rsidRPr="00343411">
        <w:t>15 to 29.68% in 2019-</w:t>
      </w:r>
      <w:r w:rsidR="005B52EB">
        <w:t>20</w:t>
      </w:r>
      <w:r w:rsidRPr="00343411">
        <w:t>20, with a peak of 36.45% in 2015-</w:t>
      </w:r>
      <w:r w:rsidR="005B52EB">
        <w:t>20</w:t>
      </w:r>
      <w:r w:rsidRPr="00343411">
        <w:t>16.</w:t>
      </w:r>
    </w:p>
    <w:p w14:paraId="63D03CB9" w14:textId="232D2F41" w:rsidR="00EC5C24" w:rsidRDefault="00EC5C24" w:rsidP="00EC5C24">
      <w:pPr>
        <w:pStyle w:val="Caption"/>
        <w:keepNext/>
      </w:pPr>
      <w:r>
        <w:t xml:space="preserve">Table </w:t>
      </w:r>
      <w:r>
        <w:fldChar w:fldCharType="begin"/>
      </w:r>
      <w:r>
        <w:instrText>SEQ Table \* ARABIC</w:instrText>
      </w:r>
      <w:r>
        <w:fldChar w:fldCharType="separate"/>
      </w:r>
      <w:r w:rsidR="003856B9">
        <w:rPr>
          <w:noProof/>
        </w:rPr>
        <w:t>1</w:t>
      </w:r>
      <w:r>
        <w:fldChar w:fldCharType="end"/>
      </w:r>
      <w:r>
        <w:t xml:space="preserve">. </w:t>
      </w:r>
      <w:r w:rsidRPr="00EC5C24">
        <w:t xml:space="preserve">Number of </w:t>
      </w:r>
      <w:r w:rsidR="004A395D">
        <w:t>students</w:t>
      </w:r>
      <w:r w:rsidRPr="00EC5C24">
        <w:t xml:space="preserve"> with disabilities enrolled in higher education within one year of leaving high school, number of respondent youth with disabilities, percentage and change in percentage from 2014-</w:t>
      </w:r>
      <w:r w:rsidR="005B52EB">
        <w:t>20</w:t>
      </w:r>
      <w:r w:rsidRPr="00EC5C24">
        <w:t>15 to 2019-</w:t>
      </w:r>
      <w:r w:rsidR="005B52EB">
        <w:t>20</w:t>
      </w:r>
      <w:r w:rsidRPr="00EC5C24">
        <w:t>20.</w:t>
      </w:r>
    </w:p>
    <w:tbl>
      <w:tblPr>
        <w:tblStyle w:val="PlainTable1"/>
        <w:tblW w:w="5000" w:type="pct"/>
        <w:tblLayout w:type="fixed"/>
        <w:tblLook w:val="04A0" w:firstRow="1" w:lastRow="0" w:firstColumn="1" w:lastColumn="0" w:noHBand="0" w:noVBand="1"/>
        <w:tblCaption w:val="Ind 14a Enrolled in Higher Ed"/>
        <w:tblDescription w:val="Number of students with disabilities enrolled in higher education within one year of leaving high school, number of respondent youth with disabilities, percentage, and change in percentage from 2014-15 to 2019-20."/>
      </w:tblPr>
      <w:tblGrid>
        <w:gridCol w:w="4408"/>
        <w:gridCol w:w="1064"/>
        <w:gridCol w:w="1064"/>
        <w:gridCol w:w="1064"/>
        <w:gridCol w:w="1064"/>
        <w:gridCol w:w="1064"/>
        <w:gridCol w:w="1062"/>
      </w:tblGrid>
      <w:tr w:rsidR="00857C2E" w:rsidRPr="003729A5" w14:paraId="5CF010D3" w14:textId="77777777" w:rsidTr="00EC5C24">
        <w:trPr>
          <w:cnfStyle w:val="100000000000" w:firstRow="1" w:lastRow="0" w:firstColumn="0" w:lastColumn="0" w:oddVBand="0" w:evenVBand="0" w:oddHBand="0" w:evenHBand="0" w:firstRowFirstColumn="0" w:firstRowLastColumn="0" w:lastRowFirstColumn="0" w:lastRowLastColumn="0"/>
          <w:cantSplit/>
          <w:trHeight w:val="290"/>
          <w:tblHeader/>
        </w:trPr>
        <w:tc>
          <w:tcPr>
            <w:cnfStyle w:val="001000000000" w:firstRow="0" w:lastRow="0" w:firstColumn="1" w:lastColumn="0" w:oddVBand="0" w:evenVBand="0" w:oddHBand="0" w:evenHBand="0" w:firstRowFirstColumn="0" w:firstRowLastColumn="0" w:lastRowFirstColumn="0" w:lastRowLastColumn="0"/>
            <w:tcW w:w="2043" w:type="pct"/>
            <w:noWrap/>
            <w:hideMark/>
          </w:tcPr>
          <w:p w14:paraId="4BF5A432" w14:textId="05E26A14" w:rsidR="003729A5" w:rsidRPr="003729A5" w:rsidRDefault="00FA4539" w:rsidP="003729A5">
            <w:pPr>
              <w:spacing w:after="0"/>
              <w:jc w:val="center"/>
              <w:rPr>
                <w:rFonts w:eastAsia="Times New Roman" w:cs="Arial"/>
                <w:b w:val="0"/>
                <w:bCs w:val="0"/>
                <w:color w:val="000000"/>
              </w:rPr>
            </w:pPr>
            <w:bookmarkStart w:id="2" w:name="Title_14a_Higher_Ed"/>
            <w:bookmarkEnd w:id="2"/>
            <w:r>
              <w:rPr>
                <w:rFonts w:eastAsia="Times New Roman" w:cs="Arial"/>
                <w:color w:val="000000"/>
              </w:rPr>
              <w:t xml:space="preserve">Indicator </w:t>
            </w:r>
            <w:r w:rsidR="003729A5" w:rsidRPr="003729A5">
              <w:rPr>
                <w:rFonts w:eastAsia="Times New Roman" w:cs="Arial"/>
                <w:color w:val="000000"/>
              </w:rPr>
              <w:t>14a</w:t>
            </w:r>
          </w:p>
        </w:tc>
        <w:tc>
          <w:tcPr>
            <w:tcW w:w="493" w:type="pct"/>
            <w:hideMark/>
          </w:tcPr>
          <w:p w14:paraId="29A90196" w14:textId="59EDAD06" w:rsidR="003729A5" w:rsidRPr="003729A5" w:rsidRDefault="00FE1804" w:rsidP="003729A5">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000000"/>
              </w:rPr>
            </w:pPr>
            <w:r>
              <w:rPr>
                <w:rFonts w:eastAsia="Times New Roman" w:cs="Arial"/>
                <w:color w:val="000000"/>
              </w:rPr>
              <w:t>20</w:t>
            </w:r>
            <w:r w:rsidR="003729A5" w:rsidRPr="003729A5">
              <w:rPr>
                <w:rFonts w:eastAsia="Times New Roman" w:cs="Arial"/>
                <w:color w:val="000000"/>
              </w:rPr>
              <w:t>14-15</w:t>
            </w:r>
          </w:p>
        </w:tc>
        <w:tc>
          <w:tcPr>
            <w:tcW w:w="493" w:type="pct"/>
            <w:hideMark/>
          </w:tcPr>
          <w:p w14:paraId="53AE8ECA" w14:textId="2312AD46" w:rsidR="003729A5" w:rsidRPr="003729A5" w:rsidRDefault="00FE1804" w:rsidP="003729A5">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000000"/>
              </w:rPr>
            </w:pPr>
            <w:r>
              <w:rPr>
                <w:rFonts w:eastAsia="Times New Roman" w:cs="Arial"/>
                <w:color w:val="000000"/>
              </w:rPr>
              <w:t>20</w:t>
            </w:r>
            <w:r w:rsidR="003729A5" w:rsidRPr="003729A5">
              <w:rPr>
                <w:rFonts w:eastAsia="Times New Roman" w:cs="Arial"/>
                <w:color w:val="000000"/>
              </w:rPr>
              <w:t>15-16</w:t>
            </w:r>
          </w:p>
        </w:tc>
        <w:tc>
          <w:tcPr>
            <w:tcW w:w="493" w:type="pct"/>
            <w:hideMark/>
          </w:tcPr>
          <w:p w14:paraId="6AA8B72B" w14:textId="4A5B383D" w:rsidR="003729A5" w:rsidRPr="003729A5" w:rsidRDefault="00FE1804" w:rsidP="003729A5">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000000"/>
              </w:rPr>
            </w:pPr>
            <w:r>
              <w:rPr>
                <w:rFonts w:eastAsia="Times New Roman" w:cs="Arial"/>
                <w:color w:val="000000"/>
              </w:rPr>
              <w:t>20</w:t>
            </w:r>
            <w:r w:rsidR="003729A5" w:rsidRPr="003729A5">
              <w:rPr>
                <w:rFonts w:eastAsia="Times New Roman" w:cs="Arial"/>
                <w:color w:val="000000"/>
              </w:rPr>
              <w:t>16-17</w:t>
            </w:r>
          </w:p>
        </w:tc>
        <w:tc>
          <w:tcPr>
            <w:tcW w:w="493" w:type="pct"/>
            <w:hideMark/>
          </w:tcPr>
          <w:p w14:paraId="6587DA04" w14:textId="362B4164" w:rsidR="003729A5" w:rsidRPr="003729A5" w:rsidRDefault="00FE1804" w:rsidP="003729A5">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000000"/>
              </w:rPr>
            </w:pPr>
            <w:r>
              <w:rPr>
                <w:rFonts w:eastAsia="Times New Roman" w:cs="Arial"/>
                <w:color w:val="000000"/>
              </w:rPr>
              <w:t>20</w:t>
            </w:r>
            <w:r w:rsidR="003729A5" w:rsidRPr="003729A5">
              <w:rPr>
                <w:rFonts w:eastAsia="Times New Roman" w:cs="Arial"/>
                <w:color w:val="000000"/>
              </w:rPr>
              <w:t>17-18</w:t>
            </w:r>
          </w:p>
        </w:tc>
        <w:tc>
          <w:tcPr>
            <w:tcW w:w="493" w:type="pct"/>
            <w:hideMark/>
          </w:tcPr>
          <w:p w14:paraId="27C3ACC9" w14:textId="0A34FDD3" w:rsidR="003729A5" w:rsidRPr="003729A5" w:rsidRDefault="00FE1804" w:rsidP="003729A5">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000000"/>
              </w:rPr>
            </w:pPr>
            <w:r>
              <w:rPr>
                <w:rFonts w:eastAsia="Times New Roman" w:cs="Arial"/>
                <w:color w:val="000000"/>
              </w:rPr>
              <w:t>20</w:t>
            </w:r>
            <w:r w:rsidR="003729A5" w:rsidRPr="003729A5">
              <w:rPr>
                <w:rFonts w:eastAsia="Times New Roman" w:cs="Arial"/>
                <w:color w:val="000000"/>
              </w:rPr>
              <w:t>18-19</w:t>
            </w:r>
          </w:p>
        </w:tc>
        <w:tc>
          <w:tcPr>
            <w:tcW w:w="492" w:type="pct"/>
            <w:hideMark/>
          </w:tcPr>
          <w:p w14:paraId="18C872FD" w14:textId="74EEC4D2" w:rsidR="003729A5" w:rsidRPr="003729A5" w:rsidRDefault="00FE1804" w:rsidP="003729A5">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000000"/>
              </w:rPr>
            </w:pPr>
            <w:r>
              <w:rPr>
                <w:rFonts w:eastAsia="Times New Roman" w:cs="Arial"/>
                <w:color w:val="000000"/>
              </w:rPr>
              <w:t>20</w:t>
            </w:r>
            <w:r w:rsidR="003729A5" w:rsidRPr="003729A5">
              <w:rPr>
                <w:rFonts w:eastAsia="Times New Roman" w:cs="Arial"/>
                <w:color w:val="000000"/>
              </w:rPr>
              <w:t>19-20</w:t>
            </w:r>
          </w:p>
        </w:tc>
      </w:tr>
      <w:tr w:rsidR="00857C2E" w:rsidRPr="003729A5" w14:paraId="697FC3BE" w14:textId="77777777" w:rsidTr="00C76D53">
        <w:trPr>
          <w:cnfStyle w:val="000000100000" w:firstRow="0" w:lastRow="0" w:firstColumn="0" w:lastColumn="0" w:oddVBand="0" w:evenVBand="0" w:oddHBand="1" w:evenHBand="0" w:firstRowFirstColumn="0" w:firstRowLastColumn="0" w:lastRowFirstColumn="0" w:lastRowLastColumn="0"/>
          <w:cantSplit/>
          <w:trHeight w:val="290"/>
        </w:trPr>
        <w:tc>
          <w:tcPr>
            <w:cnfStyle w:val="001000000000" w:firstRow="0" w:lastRow="0" w:firstColumn="1" w:lastColumn="0" w:oddVBand="0" w:evenVBand="0" w:oddHBand="0" w:evenHBand="0" w:firstRowFirstColumn="0" w:firstRowLastColumn="0" w:lastRowFirstColumn="0" w:lastRowLastColumn="0"/>
            <w:tcW w:w="2043" w:type="pct"/>
            <w:noWrap/>
            <w:hideMark/>
          </w:tcPr>
          <w:p w14:paraId="00C26259" w14:textId="617B1782" w:rsidR="003729A5" w:rsidRPr="00857C2E" w:rsidRDefault="00857C2E" w:rsidP="003729A5">
            <w:pPr>
              <w:spacing w:after="0"/>
              <w:rPr>
                <w:rFonts w:eastAsia="Times New Roman" w:cs="Arial"/>
                <w:b w:val="0"/>
                <w:bCs w:val="0"/>
                <w:color w:val="000000"/>
              </w:rPr>
            </w:pPr>
            <w:r>
              <w:rPr>
                <w:rFonts w:eastAsia="Times New Roman" w:cs="Arial"/>
                <w:b w:val="0"/>
                <w:bCs w:val="0"/>
                <w:color w:val="000000"/>
              </w:rPr>
              <w:t xml:space="preserve">Number of </w:t>
            </w:r>
            <w:r w:rsidR="00DF3972">
              <w:rPr>
                <w:rFonts w:eastAsia="Times New Roman" w:cs="Arial"/>
                <w:b w:val="0"/>
                <w:bCs w:val="0"/>
                <w:color w:val="000000"/>
              </w:rPr>
              <w:t>students with disabilities</w:t>
            </w:r>
            <w:r>
              <w:rPr>
                <w:rFonts w:eastAsia="Times New Roman" w:cs="Arial"/>
                <w:b w:val="0"/>
                <w:bCs w:val="0"/>
                <w:color w:val="000000"/>
              </w:rPr>
              <w:t xml:space="preserve"> enrolled in higher education within one year of leaving high school</w:t>
            </w:r>
          </w:p>
        </w:tc>
        <w:tc>
          <w:tcPr>
            <w:tcW w:w="493" w:type="pct"/>
            <w:vAlign w:val="center"/>
            <w:hideMark/>
          </w:tcPr>
          <w:p w14:paraId="3C438ED4" w14:textId="77777777" w:rsidR="003729A5" w:rsidRPr="003729A5" w:rsidRDefault="003729A5" w:rsidP="00C76D53">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3729A5">
              <w:rPr>
                <w:rFonts w:eastAsia="Times New Roman" w:cs="Arial"/>
                <w:color w:val="000000"/>
              </w:rPr>
              <w:t>324</w:t>
            </w:r>
          </w:p>
        </w:tc>
        <w:tc>
          <w:tcPr>
            <w:tcW w:w="493" w:type="pct"/>
            <w:vAlign w:val="center"/>
            <w:hideMark/>
          </w:tcPr>
          <w:p w14:paraId="06CB3216" w14:textId="77777777" w:rsidR="003729A5" w:rsidRPr="003729A5" w:rsidRDefault="003729A5" w:rsidP="00C76D53">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3729A5">
              <w:rPr>
                <w:rFonts w:eastAsia="Times New Roman" w:cs="Arial"/>
                <w:color w:val="000000"/>
              </w:rPr>
              <w:t>402</w:t>
            </w:r>
          </w:p>
        </w:tc>
        <w:tc>
          <w:tcPr>
            <w:tcW w:w="493" w:type="pct"/>
            <w:vAlign w:val="center"/>
            <w:hideMark/>
          </w:tcPr>
          <w:p w14:paraId="3C4D377B" w14:textId="77777777" w:rsidR="003729A5" w:rsidRPr="003729A5" w:rsidRDefault="003729A5" w:rsidP="00C76D53">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3729A5">
              <w:rPr>
                <w:rFonts w:eastAsia="Times New Roman" w:cs="Arial"/>
                <w:color w:val="000000"/>
              </w:rPr>
              <w:t>280</w:t>
            </w:r>
          </w:p>
        </w:tc>
        <w:tc>
          <w:tcPr>
            <w:tcW w:w="493" w:type="pct"/>
            <w:vAlign w:val="center"/>
            <w:hideMark/>
          </w:tcPr>
          <w:p w14:paraId="79563A14" w14:textId="77777777" w:rsidR="003729A5" w:rsidRPr="003729A5" w:rsidRDefault="003729A5" w:rsidP="00C76D53">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3729A5">
              <w:rPr>
                <w:rFonts w:eastAsia="Times New Roman" w:cs="Arial"/>
                <w:color w:val="000000"/>
              </w:rPr>
              <w:t>392</w:t>
            </w:r>
          </w:p>
        </w:tc>
        <w:tc>
          <w:tcPr>
            <w:tcW w:w="493" w:type="pct"/>
            <w:vAlign w:val="center"/>
            <w:hideMark/>
          </w:tcPr>
          <w:p w14:paraId="7BFF0DA5" w14:textId="77777777" w:rsidR="003729A5" w:rsidRPr="003729A5" w:rsidRDefault="003729A5" w:rsidP="00C76D53">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3729A5">
              <w:rPr>
                <w:rFonts w:eastAsia="Times New Roman" w:cs="Arial"/>
                <w:color w:val="000000"/>
              </w:rPr>
              <w:t>394</w:t>
            </w:r>
          </w:p>
        </w:tc>
        <w:tc>
          <w:tcPr>
            <w:tcW w:w="492" w:type="pct"/>
            <w:vAlign w:val="center"/>
            <w:hideMark/>
          </w:tcPr>
          <w:p w14:paraId="02BB60DE" w14:textId="77777777" w:rsidR="003729A5" w:rsidRPr="003729A5" w:rsidRDefault="003729A5" w:rsidP="00C76D53">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3729A5">
              <w:rPr>
                <w:rFonts w:eastAsia="Times New Roman" w:cs="Arial"/>
                <w:color w:val="000000"/>
              </w:rPr>
              <w:t>311</w:t>
            </w:r>
          </w:p>
        </w:tc>
      </w:tr>
      <w:tr w:rsidR="00857C2E" w:rsidRPr="003729A5" w14:paraId="54FCE120" w14:textId="77777777" w:rsidTr="00C76D53">
        <w:trPr>
          <w:cantSplit/>
          <w:trHeight w:val="290"/>
        </w:trPr>
        <w:tc>
          <w:tcPr>
            <w:cnfStyle w:val="001000000000" w:firstRow="0" w:lastRow="0" w:firstColumn="1" w:lastColumn="0" w:oddVBand="0" w:evenVBand="0" w:oddHBand="0" w:evenHBand="0" w:firstRowFirstColumn="0" w:firstRowLastColumn="0" w:lastRowFirstColumn="0" w:lastRowLastColumn="0"/>
            <w:tcW w:w="2043" w:type="pct"/>
            <w:noWrap/>
            <w:hideMark/>
          </w:tcPr>
          <w:p w14:paraId="65853879" w14:textId="6219AF14" w:rsidR="003729A5" w:rsidRPr="00857C2E" w:rsidRDefault="00EC5C24" w:rsidP="003729A5">
            <w:pPr>
              <w:spacing w:after="0"/>
              <w:rPr>
                <w:rFonts w:eastAsia="Times New Roman" w:cs="Arial"/>
                <w:b w:val="0"/>
                <w:bCs w:val="0"/>
                <w:color w:val="000000"/>
              </w:rPr>
            </w:pPr>
            <w:r>
              <w:rPr>
                <w:rFonts w:eastAsia="Times New Roman" w:cs="Arial"/>
                <w:b w:val="0"/>
                <w:bCs w:val="0"/>
                <w:color w:val="000000"/>
              </w:rPr>
              <w:t xml:space="preserve">Number of respondent </w:t>
            </w:r>
            <w:r w:rsidR="00DF3972">
              <w:rPr>
                <w:rFonts w:eastAsia="Times New Roman" w:cs="Arial"/>
                <w:b w:val="0"/>
                <w:bCs w:val="0"/>
                <w:color w:val="000000"/>
              </w:rPr>
              <w:t>students with disabilities</w:t>
            </w:r>
            <w:r>
              <w:rPr>
                <w:rFonts w:eastAsia="Times New Roman" w:cs="Arial"/>
                <w:b w:val="0"/>
                <w:bCs w:val="0"/>
                <w:color w:val="000000"/>
              </w:rPr>
              <w:t xml:space="preserve"> no longer in secondary school</w:t>
            </w:r>
          </w:p>
        </w:tc>
        <w:tc>
          <w:tcPr>
            <w:tcW w:w="493" w:type="pct"/>
            <w:vAlign w:val="center"/>
            <w:hideMark/>
          </w:tcPr>
          <w:p w14:paraId="42D472BE" w14:textId="77777777" w:rsidR="003729A5" w:rsidRPr="003729A5" w:rsidRDefault="003729A5" w:rsidP="00C76D5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3729A5">
              <w:rPr>
                <w:rFonts w:eastAsia="Times New Roman" w:cs="Arial"/>
                <w:color w:val="000000"/>
              </w:rPr>
              <w:t>1,103</w:t>
            </w:r>
          </w:p>
        </w:tc>
        <w:tc>
          <w:tcPr>
            <w:tcW w:w="493" w:type="pct"/>
            <w:vAlign w:val="center"/>
            <w:hideMark/>
          </w:tcPr>
          <w:p w14:paraId="6B42B55E" w14:textId="77777777" w:rsidR="003729A5" w:rsidRPr="003729A5" w:rsidRDefault="003729A5" w:rsidP="00C76D5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3729A5">
              <w:rPr>
                <w:rFonts w:eastAsia="Times New Roman" w:cs="Arial"/>
                <w:color w:val="000000"/>
              </w:rPr>
              <w:t>1,103</w:t>
            </w:r>
          </w:p>
        </w:tc>
        <w:tc>
          <w:tcPr>
            <w:tcW w:w="493" w:type="pct"/>
            <w:vAlign w:val="center"/>
            <w:hideMark/>
          </w:tcPr>
          <w:p w14:paraId="7934C8E3" w14:textId="77777777" w:rsidR="003729A5" w:rsidRPr="003729A5" w:rsidRDefault="003729A5" w:rsidP="00C76D5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3729A5">
              <w:rPr>
                <w:rFonts w:eastAsia="Times New Roman" w:cs="Arial"/>
                <w:color w:val="000000"/>
              </w:rPr>
              <w:t>972</w:t>
            </w:r>
          </w:p>
        </w:tc>
        <w:tc>
          <w:tcPr>
            <w:tcW w:w="493" w:type="pct"/>
            <w:vAlign w:val="center"/>
            <w:hideMark/>
          </w:tcPr>
          <w:p w14:paraId="790BA279" w14:textId="77777777" w:rsidR="003729A5" w:rsidRPr="003729A5" w:rsidRDefault="003729A5" w:rsidP="00C76D5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3729A5">
              <w:rPr>
                <w:rFonts w:eastAsia="Times New Roman" w:cs="Arial"/>
                <w:color w:val="000000"/>
              </w:rPr>
              <w:t>1,424</w:t>
            </w:r>
          </w:p>
        </w:tc>
        <w:tc>
          <w:tcPr>
            <w:tcW w:w="493" w:type="pct"/>
            <w:vAlign w:val="center"/>
            <w:hideMark/>
          </w:tcPr>
          <w:p w14:paraId="4E64FF75" w14:textId="77777777" w:rsidR="003729A5" w:rsidRPr="003729A5" w:rsidRDefault="003729A5" w:rsidP="00C76D5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3729A5">
              <w:rPr>
                <w:rFonts w:eastAsia="Times New Roman" w:cs="Arial"/>
                <w:color w:val="000000"/>
              </w:rPr>
              <w:t>1,429</w:t>
            </w:r>
          </w:p>
        </w:tc>
        <w:tc>
          <w:tcPr>
            <w:tcW w:w="492" w:type="pct"/>
            <w:vAlign w:val="center"/>
            <w:hideMark/>
          </w:tcPr>
          <w:p w14:paraId="13A8FCF4" w14:textId="77777777" w:rsidR="003729A5" w:rsidRPr="003729A5" w:rsidRDefault="003729A5" w:rsidP="00C76D5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3729A5">
              <w:rPr>
                <w:rFonts w:eastAsia="Times New Roman" w:cs="Arial"/>
                <w:color w:val="000000"/>
              </w:rPr>
              <w:t>1,048</w:t>
            </w:r>
          </w:p>
        </w:tc>
      </w:tr>
      <w:tr w:rsidR="00857C2E" w:rsidRPr="003729A5" w14:paraId="35BA0529" w14:textId="77777777" w:rsidTr="00C76D53">
        <w:trPr>
          <w:cnfStyle w:val="000000100000" w:firstRow="0" w:lastRow="0" w:firstColumn="0" w:lastColumn="0" w:oddVBand="0" w:evenVBand="0" w:oddHBand="1" w:evenHBand="0" w:firstRowFirstColumn="0" w:firstRowLastColumn="0" w:lastRowFirstColumn="0" w:lastRowLastColumn="0"/>
          <w:cantSplit/>
          <w:trHeight w:val="290"/>
        </w:trPr>
        <w:tc>
          <w:tcPr>
            <w:cnfStyle w:val="001000000000" w:firstRow="0" w:lastRow="0" w:firstColumn="1" w:lastColumn="0" w:oddVBand="0" w:evenVBand="0" w:oddHBand="0" w:evenHBand="0" w:firstRowFirstColumn="0" w:firstRowLastColumn="0" w:lastRowFirstColumn="0" w:lastRowLastColumn="0"/>
            <w:tcW w:w="2043" w:type="pct"/>
            <w:noWrap/>
            <w:hideMark/>
          </w:tcPr>
          <w:p w14:paraId="04556338" w14:textId="77777777" w:rsidR="003729A5" w:rsidRPr="00857C2E" w:rsidRDefault="003729A5" w:rsidP="003729A5">
            <w:pPr>
              <w:spacing w:after="0"/>
              <w:rPr>
                <w:rFonts w:eastAsia="Times New Roman" w:cs="Arial"/>
                <w:b w:val="0"/>
                <w:bCs w:val="0"/>
                <w:color w:val="000000"/>
              </w:rPr>
            </w:pPr>
            <w:r w:rsidRPr="00857C2E">
              <w:rPr>
                <w:rFonts w:eastAsia="Times New Roman" w:cs="Arial"/>
                <w:b w:val="0"/>
                <w:bCs w:val="0"/>
                <w:color w:val="000000"/>
              </w:rPr>
              <w:t>Percentage</w:t>
            </w:r>
          </w:p>
        </w:tc>
        <w:tc>
          <w:tcPr>
            <w:tcW w:w="493" w:type="pct"/>
            <w:vAlign w:val="center"/>
            <w:hideMark/>
          </w:tcPr>
          <w:p w14:paraId="5ACBFF9C" w14:textId="77777777" w:rsidR="003729A5" w:rsidRPr="003729A5" w:rsidRDefault="003729A5" w:rsidP="00C76D53">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3729A5">
              <w:rPr>
                <w:rFonts w:eastAsia="Times New Roman" w:cs="Arial"/>
                <w:color w:val="000000"/>
              </w:rPr>
              <w:t>29.37%</w:t>
            </w:r>
          </w:p>
        </w:tc>
        <w:tc>
          <w:tcPr>
            <w:tcW w:w="493" w:type="pct"/>
            <w:vAlign w:val="center"/>
            <w:hideMark/>
          </w:tcPr>
          <w:p w14:paraId="5F19DA36" w14:textId="77777777" w:rsidR="003729A5" w:rsidRPr="003729A5" w:rsidRDefault="003729A5" w:rsidP="00C76D53">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3729A5">
              <w:rPr>
                <w:rFonts w:eastAsia="Times New Roman" w:cs="Arial"/>
                <w:color w:val="000000"/>
              </w:rPr>
              <w:t>36.45%</w:t>
            </w:r>
          </w:p>
        </w:tc>
        <w:tc>
          <w:tcPr>
            <w:tcW w:w="493" w:type="pct"/>
            <w:vAlign w:val="center"/>
            <w:hideMark/>
          </w:tcPr>
          <w:p w14:paraId="7DD541F3" w14:textId="77777777" w:rsidR="003729A5" w:rsidRPr="003729A5" w:rsidRDefault="003729A5" w:rsidP="00C76D53">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3729A5">
              <w:rPr>
                <w:rFonts w:eastAsia="Times New Roman" w:cs="Arial"/>
                <w:color w:val="000000"/>
              </w:rPr>
              <w:t>28.81%</w:t>
            </w:r>
          </w:p>
        </w:tc>
        <w:tc>
          <w:tcPr>
            <w:tcW w:w="493" w:type="pct"/>
            <w:vAlign w:val="center"/>
            <w:hideMark/>
          </w:tcPr>
          <w:p w14:paraId="794FFC89" w14:textId="77777777" w:rsidR="003729A5" w:rsidRPr="003729A5" w:rsidRDefault="003729A5" w:rsidP="00C76D53">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3729A5">
              <w:rPr>
                <w:rFonts w:eastAsia="Times New Roman" w:cs="Arial"/>
                <w:color w:val="000000"/>
              </w:rPr>
              <w:t>27.53%</w:t>
            </w:r>
          </w:p>
        </w:tc>
        <w:tc>
          <w:tcPr>
            <w:tcW w:w="493" w:type="pct"/>
            <w:vAlign w:val="center"/>
            <w:hideMark/>
          </w:tcPr>
          <w:p w14:paraId="0C981E51" w14:textId="77777777" w:rsidR="003729A5" w:rsidRPr="003729A5" w:rsidRDefault="003729A5" w:rsidP="00C76D53">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3729A5">
              <w:rPr>
                <w:rFonts w:eastAsia="Times New Roman" w:cs="Arial"/>
                <w:color w:val="000000"/>
              </w:rPr>
              <w:t>27.57%</w:t>
            </w:r>
          </w:p>
        </w:tc>
        <w:tc>
          <w:tcPr>
            <w:tcW w:w="492" w:type="pct"/>
            <w:vAlign w:val="center"/>
            <w:hideMark/>
          </w:tcPr>
          <w:p w14:paraId="42CFB75B" w14:textId="77777777" w:rsidR="003729A5" w:rsidRPr="003729A5" w:rsidRDefault="003729A5" w:rsidP="00C76D53">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3729A5">
              <w:rPr>
                <w:rFonts w:eastAsia="Times New Roman" w:cs="Arial"/>
                <w:color w:val="000000"/>
              </w:rPr>
              <w:t>29.68%</w:t>
            </w:r>
          </w:p>
        </w:tc>
      </w:tr>
      <w:tr w:rsidR="00857C2E" w:rsidRPr="003729A5" w14:paraId="76DECC89" w14:textId="77777777" w:rsidTr="00C76D53">
        <w:trPr>
          <w:cantSplit/>
          <w:trHeight w:val="290"/>
        </w:trPr>
        <w:tc>
          <w:tcPr>
            <w:cnfStyle w:val="001000000000" w:firstRow="0" w:lastRow="0" w:firstColumn="1" w:lastColumn="0" w:oddVBand="0" w:evenVBand="0" w:oddHBand="0" w:evenHBand="0" w:firstRowFirstColumn="0" w:firstRowLastColumn="0" w:lastRowFirstColumn="0" w:lastRowLastColumn="0"/>
            <w:tcW w:w="2043" w:type="pct"/>
            <w:noWrap/>
            <w:hideMark/>
          </w:tcPr>
          <w:p w14:paraId="3C64CD56" w14:textId="584C0F22" w:rsidR="003729A5" w:rsidRPr="00857C2E" w:rsidRDefault="003729A5" w:rsidP="003729A5">
            <w:pPr>
              <w:spacing w:after="0"/>
              <w:rPr>
                <w:rFonts w:eastAsia="Times New Roman" w:cs="Arial"/>
                <w:b w:val="0"/>
                <w:bCs w:val="0"/>
                <w:color w:val="000000"/>
              </w:rPr>
            </w:pPr>
            <w:r w:rsidRPr="00857C2E">
              <w:rPr>
                <w:rFonts w:eastAsia="Times New Roman" w:cs="Arial"/>
                <w:b w:val="0"/>
                <w:bCs w:val="0"/>
                <w:color w:val="000000"/>
              </w:rPr>
              <w:t xml:space="preserve">Change in </w:t>
            </w:r>
            <w:r w:rsidR="00DF3972">
              <w:rPr>
                <w:rFonts w:eastAsia="Times New Roman" w:cs="Arial"/>
                <w:b w:val="0"/>
                <w:bCs w:val="0"/>
                <w:color w:val="000000"/>
              </w:rPr>
              <w:t>p</w:t>
            </w:r>
            <w:r w:rsidRPr="00857C2E">
              <w:rPr>
                <w:rFonts w:eastAsia="Times New Roman" w:cs="Arial"/>
                <w:b w:val="0"/>
                <w:bCs w:val="0"/>
                <w:color w:val="000000"/>
              </w:rPr>
              <w:t>ercentage</w:t>
            </w:r>
          </w:p>
        </w:tc>
        <w:tc>
          <w:tcPr>
            <w:tcW w:w="493" w:type="pct"/>
            <w:vAlign w:val="center"/>
            <w:hideMark/>
          </w:tcPr>
          <w:p w14:paraId="0226351C" w14:textId="58EF0BC1" w:rsidR="003729A5" w:rsidRPr="003729A5" w:rsidRDefault="007960F3" w:rsidP="00C76D5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Pr>
                <w:rFonts w:eastAsia="Times New Roman" w:cs="Arial"/>
                <w:color w:val="000000"/>
              </w:rPr>
              <w:t>n</w:t>
            </w:r>
            <w:r>
              <w:rPr>
                <w:rFonts w:eastAsia="Times New Roman" w:cs="Arial"/>
              </w:rPr>
              <w:t>/a</w:t>
            </w:r>
          </w:p>
        </w:tc>
        <w:tc>
          <w:tcPr>
            <w:tcW w:w="493" w:type="pct"/>
            <w:vAlign w:val="center"/>
            <w:hideMark/>
          </w:tcPr>
          <w:p w14:paraId="0ED036FC" w14:textId="424901E9" w:rsidR="003729A5" w:rsidRPr="003729A5" w:rsidRDefault="003729A5" w:rsidP="00C76D5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Pr>
                <w:rFonts w:eastAsia="Times New Roman" w:cs="Arial"/>
                <w:color w:val="000000"/>
              </w:rPr>
              <w:t>+</w:t>
            </w:r>
            <w:r w:rsidRPr="003729A5">
              <w:rPr>
                <w:rFonts w:eastAsia="Times New Roman" w:cs="Arial"/>
                <w:color w:val="000000"/>
              </w:rPr>
              <w:t>7.08%</w:t>
            </w:r>
          </w:p>
        </w:tc>
        <w:tc>
          <w:tcPr>
            <w:tcW w:w="493" w:type="pct"/>
            <w:vAlign w:val="center"/>
            <w:hideMark/>
          </w:tcPr>
          <w:p w14:paraId="64DA23C9" w14:textId="77777777" w:rsidR="003729A5" w:rsidRPr="003729A5" w:rsidRDefault="003729A5" w:rsidP="00C76D5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3729A5">
              <w:rPr>
                <w:rFonts w:eastAsia="Times New Roman" w:cs="Arial"/>
                <w:color w:val="000000"/>
              </w:rPr>
              <w:t>-7.64%</w:t>
            </w:r>
          </w:p>
        </w:tc>
        <w:tc>
          <w:tcPr>
            <w:tcW w:w="493" w:type="pct"/>
            <w:vAlign w:val="center"/>
            <w:hideMark/>
          </w:tcPr>
          <w:p w14:paraId="1F9BB661" w14:textId="77777777" w:rsidR="003729A5" w:rsidRPr="003729A5" w:rsidRDefault="003729A5" w:rsidP="00C76D5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3729A5">
              <w:rPr>
                <w:rFonts w:eastAsia="Times New Roman" w:cs="Arial"/>
                <w:color w:val="000000"/>
              </w:rPr>
              <w:t>-1.28%</w:t>
            </w:r>
          </w:p>
        </w:tc>
        <w:tc>
          <w:tcPr>
            <w:tcW w:w="493" w:type="pct"/>
            <w:vAlign w:val="center"/>
            <w:hideMark/>
          </w:tcPr>
          <w:p w14:paraId="33B07158" w14:textId="05DB16B3" w:rsidR="003729A5" w:rsidRPr="003729A5" w:rsidRDefault="003729A5" w:rsidP="00C76D5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Pr>
                <w:rFonts w:eastAsia="Times New Roman" w:cs="Arial"/>
                <w:color w:val="000000"/>
              </w:rPr>
              <w:t>+</w:t>
            </w:r>
            <w:r w:rsidRPr="003729A5">
              <w:rPr>
                <w:rFonts w:eastAsia="Times New Roman" w:cs="Arial"/>
                <w:color w:val="000000"/>
              </w:rPr>
              <w:t>0.04%</w:t>
            </w:r>
          </w:p>
        </w:tc>
        <w:tc>
          <w:tcPr>
            <w:tcW w:w="492" w:type="pct"/>
            <w:vAlign w:val="center"/>
            <w:hideMark/>
          </w:tcPr>
          <w:p w14:paraId="12F90919" w14:textId="41027658" w:rsidR="003729A5" w:rsidRPr="003729A5" w:rsidRDefault="003729A5" w:rsidP="00C76D5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Pr>
                <w:rFonts w:eastAsia="Times New Roman" w:cs="Arial"/>
                <w:color w:val="000000"/>
              </w:rPr>
              <w:t>+</w:t>
            </w:r>
            <w:r w:rsidRPr="003729A5">
              <w:rPr>
                <w:rFonts w:eastAsia="Times New Roman" w:cs="Arial"/>
                <w:color w:val="000000"/>
              </w:rPr>
              <w:t>2.11%</w:t>
            </w:r>
          </w:p>
        </w:tc>
      </w:tr>
    </w:tbl>
    <w:p w14:paraId="6E6F4E80" w14:textId="77777777" w:rsidR="00193029" w:rsidRDefault="00193029" w:rsidP="00571D36">
      <w:pPr>
        <w:pStyle w:val="Heading2"/>
      </w:pPr>
    </w:p>
    <w:p w14:paraId="502844D4" w14:textId="77777777" w:rsidR="00193029" w:rsidRDefault="00193029">
      <w:pPr>
        <w:spacing w:after="0"/>
        <w:rPr>
          <w:rFonts w:cstheme="minorHAnsi"/>
          <w:b/>
          <w:caps/>
          <w:color w:val="1F497D" w:themeColor="text2"/>
          <w:sz w:val="24"/>
          <w:szCs w:val="24"/>
        </w:rPr>
      </w:pPr>
      <w:r>
        <w:br w:type="page"/>
      </w:r>
    </w:p>
    <w:p w14:paraId="7433D7F1" w14:textId="3F238168" w:rsidR="00571D36" w:rsidRDefault="00571D36" w:rsidP="00571D36">
      <w:pPr>
        <w:pStyle w:val="Heading2"/>
      </w:pPr>
      <w:r>
        <w:lastRenderedPageBreak/>
        <w:t>How has Ohio performed in relation to the targets</w:t>
      </w:r>
      <w:r w:rsidR="008B1595">
        <w:t xml:space="preserve"> – indicator 14A</w:t>
      </w:r>
      <w:r>
        <w:t>?</w:t>
      </w:r>
    </w:p>
    <w:p w14:paraId="03F02221" w14:textId="5A31725A" w:rsidR="00571D36" w:rsidRDefault="00571D36" w:rsidP="00571D36">
      <w:r>
        <w:t xml:space="preserve">The graphs below depict Ohio’s performance over time in relation to the state targets. </w:t>
      </w:r>
    </w:p>
    <w:p w14:paraId="31CC0856" w14:textId="77777777" w:rsidR="00905EE0" w:rsidRDefault="00571D36" w:rsidP="00C73806">
      <w:pPr>
        <w:pStyle w:val="ListParagraph"/>
        <w:numPr>
          <w:ilvl w:val="0"/>
          <w:numId w:val="42"/>
        </w:numPr>
        <w:spacing w:after="60"/>
      </w:pPr>
      <w:r>
        <w:t xml:space="preserve">The bars in each graph indicate Ohio’s performance for each year. </w:t>
      </w:r>
      <w:r w:rsidR="00905EE0">
        <w:t>Red bars with horizontal stripes mean Ohio did not meet the target for that year. Green bars with vertical stripes mean Ohio met the target for that year.</w:t>
      </w:r>
    </w:p>
    <w:p w14:paraId="4D488E4D" w14:textId="31C7803F" w:rsidR="00571D36" w:rsidRDefault="00571D36" w:rsidP="00C73806">
      <w:pPr>
        <w:pStyle w:val="ListParagraph"/>
        <w:numPr>
          <w:ilvl w:val="0"/>
          <w:numId w:val="42"/>
        </w:numPr>
      </w:pPr>
      <w:r>
        <w:t>The dotted black line in each graph depicts the state target for each year</w:t>
      </w:r>
      <w:r w:rsidR="00077E64">
        <w:t>.</w:t>
      </w:r>
    </w:p>
    <w:p w14:paraId="7387EC06" w14:textId="77777777" w:rsidR="00571D36" w:rsidRDefault="00571D36" w:rsidP="00C73806">
      <w:pPr>
        <w:pStyle w:val="ListParagraph"/>
        <w:numPr>
          <w:ilvl w:val="0"/>
          <w:numId w:val="42"/>
        </w:numPr>
      </w:pPr>
      <w:r>
        <w:t>The table below each graph calculates the difference between the state target and Ohio’s performance. Negative numbers mean Ohio performed below the state target.</w:t>
      </w:r>
    </w:p>
    <w:p w14:paraId="76E23B3C" w14:textId="3F1669BB" w:rsidR="00571D36" w:rsidRPr="00AF1DB9" w:rsidRDefault="00571D36" w:rsidP="00571D36">
      <w:r>
        <w:t>For indicator 14a, the goal is to be at or above the target.</w:t>
      </w:r>
    </w:p>
    <w:p w14:paraId="7AC4A60D" w14:textId="2EC623B2" w:rsidR="00313F6C" w:rsidRDefault="00C37E08" w:rsidP="00313F6C">
      <w:pPr>
        <w:keepNext/>
        <w:jc w:val="center"/>
      </w:pPr>
      <w:r>
        <w:rPr>
          <w:noProof/>
        </w:rPr>
        <w:drawing>
          <wp:inline distT="0" distB="0" distL="0" distR="0" wp14:anchorId="0254369D" wp14:editId="680E9575">
            <wp:extent cx="6400800" cy="2743200"/>
            <wp:effectExtent l="0" t="0" r="0" b="0"/>
            <wp:docPr id="2" name="Chart 2" descr="Combination graph showing Ohio's performance on indicator 14a compared to the target.">
              <a:extLst xmlns:a="http://schemas.openxmlformats.org/drawingml/2006/main">
                <a:ext uri="{FF2B5EF4-FFF2-40B4-BE49-F238E27FC236}">
                  <a16:creationId xmlns:a16="http://schemas.microsoft.com/office/drawing/2014/main" id="{2D47F4F7-95BF-4841-9F6D-8A2791B890E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817905B" w14:textId="00716A8C" w:rsidR="004F6B09" w:rsidRDefault="00313F6C" w:rsidP="004F6B09">
      <w:pPr>
        <w:pStyle w:val="Caption"/>
      </w:pPr>
      <w:r>
        <w:t xml:space="preserve">Figure </w:t>
      </w:r>
      <w:r>
        <w:fldChar w:fldCharType="begin"/>
      </w:r>
      <w:r>
        <w:instrText>SEQ Figure \* ARABIC</w:instrText>
      </w:r>
      <w:r>
        <w:fldChar w:fldCharType="separate"/>
      </w:r>
      <w:r w:rsidR="005152AA">
        <w:rPr>
          <w:noProof/>
        </w:rPr>
        <w:t>2</w:t>
      </w:r>
      <w:r>
        <w:fldChar w:fldCharType="end"/>
      </w:r>
      <w:r>
        <w:t xml:space="preserve">. </w:t>
      </w:r>
      <w:r w:rsidR="004F6B09" w:rsidRPr="00343411">
        <w:t>Ohio’s percentage of students with disabilities enrolled in higher education within one year of leaving high school increased from 29.37% in 2014-</w:t>
      </w:r>
      <w:r w:rsidR="00DF3972">
        <w:t>20</w:t>
      </w:r>
      <w:r w:rsidR="004F6B09" w:rsidRPr="00343411">
        <w:t>15 to 29.68% in 2019-</w:t>
      </w:r>
      <w:r w:rsidR="00DF3972">
        <w:t>20</w:t>
      </w:r>
      <w:r w:rsidR="004F6B09" w:rsidRPr="00343411">
        <w:t>20, with a peak of 36.45% in 2015-</w:t>
      </w:r>
      <w:r w:rsidR="00DF3972">
        <w:t>20</w:t>
      </w:r>
      <w:r w:rsidR="004F6B09" w:rsidRPr="00343411">
        <w:t>16</w:t>
      </w:r>
      <w:r w:rsidR="003D7806">
        <w:t>, the only year in which</w:t>
      </w:r>
      <w:r w:rsidR="004F6B09">
        <w:t xml:space="preserve"> Ohio met the target</w:t>
      </w:r>
      <w:r w:rsidR="003D7806">
        <w:t>.</w:t>
      </w:r>
    </w:p>
    <w:p w14:paraId="7D2F8FF7" w14:textId="403E51B9" w:rsidR="003D7806" w:rsidRPr="003D7806" w:rsidRDefault="003D7806" w:rsidP="003D7806">
      <w:pPr>
        <w:pStyle w:val="Caption"/>
        <w:keepNext/>
        <w:rPr>
          <w:b/>
          <w:bCs/>
        </w:rPr>
      </w:pPr>
      <w:r>
        <w:t xml:space="preserve">Table </w:t>
      </w:r>
      <w:r>
        <w:fldChar w:fldCharType="begin"/>
      </w:r>
      <w:r>
        <w:instrText>SEQ Table \* ARABIC</w:instrText>
      </w:r>
      <w:r>
        <w:fldChar w:fldCharType="separate"/>
      </w:r>
      <w:r w:rsidR="003856B9">
        <w:rPr>
          <w:noProof/>
        </w:rPr>
        <w:t>2</w:t>
      </w:r>
      <w:r>
        <w:fldChar w:fldCharType="end"/>
      </w:r>
      <w:r>
        <w:t xml:space="preserve">. </w:t>
      </w:r>
      <w:r w:rsidRPr="003D7806">
        <w:t>Percentage difference between the state target and Ohio's performance for the percentage of students with disabilities enrolled in higher education within one year of leaving high school.</w:t>
      </w:r>
      <w:r w:rsidR="00593A2B" w:rsidRPr="00593A2B">
        <w:t xml:space="preserve"> </w:t>
      </w:r>
      <w:r w:rsidR="00593A2B">
        <w:t>The goal for indicator 14a is to be at or above the target. Positive difference numbers indicate the state was above the target for that year and met the target. Negative difference numbers indicate the state was below the target for that year and did not meet the target.</w:t>
      </w:r>
    </w:p>
    <w:tbl>
      <w:tblPr>
        <w:tblStyle w:val="PlainTable1"/>
        <w:tblW w:w="5000" w:type="pct"/>
        <w:tblLook w:val="04A0" w:firstRow="1" w:lastRow="0" w:firstColumn="1" w:lastColumn="0" w:noHBand="0" w:noVBand="1"/>
        <w:tblCaption w:val="Ind 14a Performance vs Target"/>
        <w:tblDescription w:val="Percentage difference between the state target and Ohio's performance for the percentage of students with disabilities enrolled in higher education within one year of leaving high school. The goal for indicator 14a is to be at or above the target. Positive difference numbers indicate the state was above the target for that year and met the target. Negative difference numbers indicate the state was below the target for that year and did not meet the target."/>
      </w:tblPr>
      <w:tblGrid>
        <w:gridCol w:w="1540"/>
        <w:gridCol w:w="1541"/>
        <w:gridCol w:w="1541"/>
        <w:gridCol w:w="1541"/>
        <w:gridCol w:w="1541"/>
        <w:gridCol w:w="1541"/>
        <w:gridCol w:w="1545"/>
      </w:tblGrid>
      <w:tr w:rsidR="003D7806" w:rsidRPr="00EC109D" w14:paraId="14E3AFA2" w14:textId="77777777" w:rsidTr="003D7806">
        <w:trPr>
          <w:cnfStyle w:val="100000000000" w:firstRow="1" w:lastRow="0" w:firstColumn="0" w:lastColumn="0" w:oddVBand="0" w:evenVBand="0" w:oddHBand="0" w:evenHBand="0" w:firstRowFirstColumn="0" w:firstRowLastColumn="0" w:lastRowFirstColumn="0" w:lastRowLastColumn="0"/>
          <w:cantSplit/>
          <w:trHeight w:val="288"/>
          <w:tblHeader/>
        </w:trPr>
        <w:tc>
          <w:tcPr>
            <w:cnfStyle w:val="001000000000" w:firstRow="0" w:lastRow="0" w:firstColumn="1" w:lastColumn="0" w:oddVBand="0" w:evenVBand="0" w:oddHBand="0" w:evenHBand="0" w:firstRowFirstColumn="0" w:firstRowLastColumn="0" w:lastRowFirstColumn="0" w:lastRowLastColumn="0"/>
            <w:tcW w:w="714" w:type="pct"/>
          </w:tcPr>
          <w:p w14:paraId="0551AF14" w14:textId="6F91AF1E" w:rsidR="003D7806" w:rsidRPr="00EC109D" w:rsidRDefault="003D7806" w:rsidP="00227E42">
            <w:pPr>
              <w:spacing w:after="0"/>
              <w:contextualSpacing/>
              <w:jc w:val="center"/>
            </w:pPr>
            <w:bookmarkStart w:id="3" w:name="Title_14a_Diff_Target"/>
            <w:bookmarkEnd w:id="3"/>
            <w:r>
              <w:t>Data Year</w:t>
            </w:r>
          </w:p>
        </w:tc>
        <w:tc>
          <w:tcPr>
            <w:tcW w:w="714" w:type="pct"/>
          </w:tcPr>
          <w:p w14:paraId="38746A52" w14:textId="3B88890A" w:rsidR="003D7806" w:rsidRPr="00EC109D" w:rsidRDefault="00FE1804" w:rsidP="00227E42">
            <w:pPr>
              <w:spacing w:after="0"/>
              <w:contextualSpacing/>
              <w:jc w:val="center"/>
              <w:cnfStyle w:val="100000000000" w:firstRow="1" w:lastRow="0" w:firstColumn="0" w:lastColumn="0" w:oddVBand="0" w:evenVBand="0" w:oddHBand="0" w:evenHBand="0" w:firstRowFirstColumn="0" w:firstRowLastColumn="0" w:lastRowFirstColumn="0" w:lastRowLastColumn="0"/>
            </w:pPr>
            <w:r>
              <w:t>20</w:t>
            </w:r>
            <w:r w:rsidR="003D7806" w:rsidRPr="00EC109D">
              <w:t>14-15</w:t>
            </w:r>
          </w:p>
        </w:tc>
        <w:tc>
          <w:tcPr>
            <w:tcW w:w="714" w:type="pct"/>
          </w:tcPr>
          <w:p w14:paraId="651FA9F9" w14:textId="51122E94" w:rsidR="003D7806" w:rsidRPr="00EC109D" w:rsidRDefault="00FE1804" w:rsidP="00227E42">
            <w:pPr>
              <w:spacing w:after="0"/>
              <w:contextualSpacing/>
              <w:jc w:val="center"/>
              <w:cnfStyle w:val="100000000000" w:firstRow="1" w:lastRow="0" w:firstColumn="0" w:lastColumn="0" w:oddVBand="0" w:evenVBand="0" w:oddHBand="0" w:evenHBand="0" w:firstRowFirstColumn="0" w:firstRowLastColumn="0" w:lastRowFirstColumn="0" w:lastRowLastColumn="0"/>
            </w:pPr>
            <w:r>
              <w:t>20</w:t>
            </w:r>
            <w:r w:rsidR="003D7806" w:rsidRPr="00EC109D">
              <w:t>15-16</w:t>
            </w:r>
          </w:p>
        </w:tc>
        <w:tc>
          <w:tcPr>
            <w:tcW w:w="714" w:type="pct"/>
          </w:tcPr>
          <w:p w14:paraId="0AC89BAA" w14:textId="11629B1E" w:rsidR="003D7806" w:rsidRPr="00EC109D" w:rsidRDefault="00FE1804" w:rsidP="00227E42">
            <w:pPr>
              <w:spacing w:after="0"/>
              <w:contextualSpacing/>
              <w:jc w:val="center"/>
              <w:cnfStyle w:val="100000000000" w:firstRow="1" w:lastRow="0" w:firstColumn="0" w:lastColumn="0" w:oddVBand="0" w:evenVBand="0" w:oddHBand="0" w:evenHBand="0" w:firstRowFirstColumn="0" w:firstRowLastColumn="0" w:lastRowFirstColumn="0" w:lastRowLastColumn="0"/>
            </w:pPr>
            <w:r>
              <w:t>20</w:t>
            </w:r>
            <w:r w:rsidR="003D7806" w:rsidRPr="00EC109D">
              <w:t>16-17</w:t>
            </w:r>
          </w:p>
        </w:tc>
        <w:tc>
          <w:tcPr>
            <w:tcW w:w="714" w:type="pct"/>
          </w:tcPr>
          <w:p w14:paraId="4D0872F1" w14:textId="1886B02F" w:rsidR="003D7806" w:rsidRPr="00EC109D" w:rsidRDefault="00FE1804" w:rsidP="00227E42">
            <w:pPr>
              <w:spacing w:after="0"/>
              <w:contextualSpacing/>
              <w:jc w:val="center"/>
              <w:cnfStyle w:val="100000000000" w:firstRow="1" w:lastRow="0" w:firstColumn="0" w:lastColumn="0" w:oddVBand="0" w:evenVBand="0" w:oddHBand="0" w:evenHBand="0" w:firstRowFirstColumn="0" w:firstRowLastColumn="0" w:lastRowFirstColumn="0" w:lastRowLastColumn="0"/>
            </w:pPr>
            <w:r>
              <w:t>20</w:t>
            </w:r>
            <w:r w:rsidR="003D7806" w:rsidRPr="00EC109D">
              <w:t>17-18</w:t>
            </w:r>
          </w:p>
        </w:tc>
        <w:tc>
          <w:tcPr>
            <w:tcW w:w="714" w:type="pct"/>
          </w:tcPr>
          <w:p w14:paraId="582E6B81" w14:textId="62C496C9" w:rsidR="003D7806" w:rsidRPr="00EC109D" w:rsidRDefault="00FE1804" w:rsidP="00227E42">
            <w:pPr>
              <w:spacing w:after="0"/>
              <w:contextualSpacing/>
              <w:jc w:val="center"/>
              <w:cnfStyle w:val="100000000000" w:firstRow="1" w:lastRow="0" w:firstColumn="0" w:lastColumn="0" w:oddVBand="0" w:evenVBand="0" w:oddHBand="0" w:evenHBand="0" w:firstRowFirstColumn="0" w:firstRowLastColumn="0" w:lastRowFirstColumn="0" w:lastRowLastColumn="0"/>
            </w:pPr>
            <w:r>
              <w:t>20</w:t>
            </w:r>
            <w:r w:rsidR="003D7806" w:rsidRPr="00EC109D">
              <w:t>18-19</w:t>
            </w:r>
          </w:p>
        </w:tc>
        <w:tc>
          <w:tcPr>
            <w:tcW w:w="716" w:type="pct"/>
          </w:tcPr>
          <w:p w14:paraId="07DF198B" w14:textId="7926BFBE" w:rsidR="003D7806" w:rsidRPr="00EC109D" w:rsidRDefault="00FE1804" w:rsidP="00227E42">
            <w:pPr>
              <w:spacing w:after="0"/>
              <w:contextualSpacing/>
              <w:jc w:val="center"/>
              <w:cnfStyle w:val="100000000000" w:firstRow="1" w:lastRow="0" w:firstColumn="0" w:lastColumn="0" w:oddVBand="0" w:evenVBand="0" w:oddHBand="0" w:evenHBand="0" w:firstRowFirstColumn="0" w:firstRowLastColumn="0" w:lastRowFirstColumn="0" w:lastRowLastColumn="0"/>
            </w:pPr>
            <w:r>
              <w:t>20</w:t>
            </w:r>
            <w:r w:rsidR="003D7806" w:rsidRPr="00EC109D">
              <w:t>19-20</w:t>
            </w:r>
          </w:p>
        </w:tc>
      </w:tr>
      <w:tr w:rsidR="003D7806" w:rsidRPr="00EC109D" w14:paraId="3B0DC56C" w14:textId="77777777" w:rsidTr="00C76D53">
        <w:trPr>
          <w:cnfStyle w:val="000000100000" w:firstRow="0" w:lastRow="0" w:firstColumn="0" w:lastColumn="0" w:oddVBand="0" w:evenVBand="0" w:oddHBand="1" w:evenHBand="0" w:firstRowFirstColumn="0" w:firstRowLastColumn="0" w:lastRowFirstColumn="0" w:lastRowLastColumn="0"/>
          <w:cantSplit/>
          <w:trHeight w:val="288"/>
        </w:trPr>
        <w:tc>
          <w:tcPr>
            <w:cnfStyle w:val="001000000000" w:firstRow="0" w:lastRow="0" w:firstColumn="1" w:lastColumn="0" w:oddVBand="0" w:evenVBand="0" w:oddHBand="0" w:evenHBand="0" w:firstRowFirstColumn="0" w:firstRowLastColumn="0" w:lastRowFirstColumn="0" w:lastRowLastColumn="0"/>
            <w:tcW w:w="714" w:type="pct"/>
          </w:tcPr>
          <w:p w14:paraId="4E6C3DCE" w14:textId="287D269B" w:rsidR="003D7806" w:rsidRPr="003D7806" w:rsidRDefault="003D7806" w:rsidP="00227E42">
            <w:pPr>
              <w:spacing w:after="0"/>
              <w:contextualSpacing/>
              <w:jc w:val="center"/>
              <w:rPr>
                <w:rFonts w:cs="Arial"/>
                <w:b w:val="0"/>
                <w:bCs w:val="0"/>
                <w:color w:val="000000"/>
              </w:rPr>
            </w:pPr>
            <w:r w:rsidRPr="003D7806">
              <w:rPr>
                <w:b w:val="0"/>
                <w:bCs w:val="0"/>
              </w:rPr>
              <w:t>Difference between state target and Ohio’s performance</w:t>
            </w:r>
          </w:p>
        </w:tc>
        <w:tc>
          <w:tcPr>
            <w:tcW w:w="714" w:type="pct"/>
            <w:shd w:val="clear" w:color="auto" w:fill="F2DBDB" w:themeFill="accent2" w:themeFillTint="33"/>
            <w:vAlign w:val="center"/>
          </w:tcPr>
          <w:p w14:paraId="7DD58DEC" w14:textId="0F586D78" w:rsidR="003D7806" w:rsidRPr="00EC109D" w:rsidRDefault="003D7806" w:rsidP="00C76D53">
            <w:pPr>
              <w:spacing w:after="0"/>
              <w:contextualSpacing/>
              <w:jc w:val="center"/>
              <w:cnfStyle w:val="000000100000" w:firstRow="0" w:lastRow="0" w:firstColumn="0" w:lastColumn="0" w:oddVBand="0" w:evenVBand="0" w:oddHBand="1" w:evenHBand="0" w:firstRowFirstColumn="0" w:firstRowLastColumn="0" w:lastRowFirstColumn="0" w:lastRowLastColumn="0"/>
              <w:rPr>
                <w:rFonts w:cs="Arial"/>
                <w:color w:val="000000"/>
              </w:rPr>
            </w:pPr>
            <w:r w:rsidRPr="00EC109D">
              <w:rPr>
                <w:rFonts w:cs="Arial"/>
                <w:color w:val="000000"/>
              </w:rPr>
              <w:t>-5.43%</w:t>
            </w:r>
          </w:p>
        </w:tc>
        <w:tc>
          <w:tcPr>
            <w:tcW w:w="714" w:type="pct"/>
            <w:shd w:val="clear" w:color="auto" w:fill="EAF1DD" w:themeFill="accent3" w:themeFillTint="33"/>
            <w:vAlign w:val="center"/>
          </w:tcPr>
          <w:p w14:paraId="04B2A028" w14:textId="77777777" w:rsidR="003D7806" w:rsidRPr="00EC109D" w:rsidRDefault="003D7806" w:rsidP="00C76D53">
            <w:pPr>
              <w:spacing w:after="0"/>
              <w:contextualSpacing/>
              <w:jc w:val="center"/>
              <w:cnfStyle w:val="000000100000" w:firstRow="0" w:lastRow="0" w:firstColumn="0" w:lastColumn="0" w:oddVBand="0" w:evenVBand="0" w:oddHBand="1" w:evenHBand="0" w:firstRowFirstColumn="0" w:firstRowLastColumn="0" w:lastRowFirstColumn="0" w:lastRowLastColumn="0"/>
              <w:rPr>
                <w:rFonts w:cs="Arial"/>
                <w:color w:val="000000"/>
              </w:rPr>
            </w:pPr>
            <w:r w:rsidRPr="00EC109D">
              <w:rPr>
                <w:rFonts w:cs="Arial"/>
                <w:color w:val="000000"/>
              </w:rPr>
              <w:t>1.55%</w:t>
            </w:r>
          </w:p>
        </w:tc>
        <w:tc>
          <w:tcPr>
            <w:tcW w:w="714" w:type="pct"/>
            <w:shd w:val="clear" w:color="auto" w:fill="F2DBDB" w:themeFill="accent2" w:themeFillTint="33"/>
            <w:vAlign w:val="center"/>
          </w:tcPr>
          <w:p w14:paraId="53B6D71A" w14:textId="77777777" w:rsidR="003D7806" w:rsidRPr="00EC109D" w:rsidRDefault="003D7806" w:rsidP="00C76D53">
            <w:pPr>
              <w:spacing w:after="0"/>
              <w:contextualSpacing/>
              <w:jc w:val="center"/>
              <w:cnfStyle w:val="000000100000" w:firstRow="0" w:lastRow="0" w:firstColumn="0" w:lastColumn="0" w:oddVBand="0" w:evenVBand="0" w:oddHBand="1" w:evenHBand="0" w:firstRowFirstColumn="0" w:firstRowLastColumn="0" w:lastRowFirstColumn="0" w:lastRowLastColumn="0"/>
              <w:rPr>
                <w:rFonts w:cs="Arial"/>
                <w:color w:val="000000"/>
              </w:rPr>
            </w:pPr>
            <w:r w:rsidRPr="00EC109D">
              <w:rPr>
                <w:rFonts w:cs="Arial"/>
                <w:color w:val="000000"/>
              </w:rPr>
              <w:t>-6.09%</w:t>
            </w:r>
          </w:p>
        </w:tc>
        <w:tc>
          <w:tcPr>
            <w:tcW w:w="714" w:type="pct"/>
            <w:shd w:val="clear" w:color="auto" w:fill="F2DBDB" w:themeFill="accent2" w:themeFillTint="33"/>
            <w:vAlign w:val="center"/>
          </w:tcPr>
          <w:p w14:paraId="2866DF9B" w14:textId="77777777" w:rsidR="003D7806" w:rsidRPr="00EC109D" w:rsidRDefault="003D7806" w:rsidP="00C76D53">
            <w:pPr>
              <w:spacing w:after="0"/>
              <w:contextualSpacing/>
              <w:jc w:val="center"/>
              <w:cnfStyle w:val="000000100000" w:firstRow="0" w:lastRow="0" w:firstColumn="0" w:lastColumn="0" w:oddVBand="0" w:evenVBand="0" w:oddHBand="1" w:evenHBand="0" w:firstRowFirstColumn="0" w:firstRowLastColumn="0" w:lastRowFirstColumn="0" w:lastRowLastColumn="0"/>
              <w:rPr>
                <w:rFonts w:cs="Arial"/>
                <w:color w:val="000000"/>
              </w:rPr>
            </w:pPr>
            <w:r w:rsidRPr="00EC109D">
              <w:rPr>
                <w:rFonts w:cs="Arial"/>
                <w:color w:val="000000"/>
              </w:rPr>
              <w:t>-7.47%</w:t>
            </w:r>
          </w:p>
        </w:tc>
        <w:tc>
          <w:tcPr>
            <w:tcW w:w="714" w:type="pct"/>
            <w:shd w:val="clear" w:color="auto" w:fill="F2DBDB" w:themeFill="accent2" w:themeFillTint="33"/>
            <w:vAlign w:val="center"/>
          </w:tcPr>
          <w:p w14:paraId="0D9D0B03" w14:textId="77777777" w:rsidR="003D7806" w:rsidRPr="00EC109D" w:rsidRDefault="003D7806" w:rsidP="00C76D53">
            <w:pPr>
              <w:spacing w:after="0"/>
              <w:contextualSpacing/>
              <w:jc w:val="center"/>
              <w:cnfStyle w:val="000000100000" w:firstRow="0" w:lastRow="0" w:firstColumn="0" w:lastColumn="0" w:oddVBand="0" w:evenVBand="0" w:oddHBand="1" w:evenHBand="0" w:firstRowFirstColumn="0" w:firstRowLastColumn="0" w:lastRowFirstColumn="0" w:lastRowLastColumn="0"/>
              <w:rPr>
                <w:rFonts w:cs="Arial"/>
                <w:color w:val="000000"/>
              </w:rPr>
            </w:pPr>
            <w:r w:rsidRPr="00EC109D">
              <w:rPr>
                <w:rFonts w:cs="Arial"/>
                <w:color w:val="000000"/>
              </w:rPr>
              <w:t>-12.13%</w:t>
            </w:r>
          </w:p>
        </w:tc>
        <w:tc>
          <w:tcPr>
            <w:tcW w:w="716" w:type="pct"/>
            <w:shd w:val="clear" w:color="auto" w:fill="F2DBDB" w:themeFill="accent2" w:themeFillTint="33"/>
            <w:vAlign w:val="center"/>
          </w:tcPr>
          <w:p w14:paraId="5CBC336D" w14:textId="77777777" w:rsidR="003D7806" w:rsidRPr="00EC109D" w:rsidRDefault="003D7806" w:rsidP="00C76D53">
            <w:pPr>
              <w:spacing w:after="0"/>
              <w:contextualSpacing/>
              <w:jc w:val="center"/>
              <w:cnfStyle w:val="000000100000" w:firstRow="0" w:lastRow="0" w:firstColumn="0" w:lastColumn="0" w:oddVBand="0" w:evenVBand="0" w:oddHBand="1" w:evenHBand="0" w:firstRowFirstColumn="0" w:firstRowLastColumn="0" w:lastRowFirstColumn="0" w:lastRowLastColumn="0"/>
              <w:rPr>
                <w:rFonts w:cs="Arial"/>
                <w:color w:val="000000"/>
              </w:rPr>
            </w:pPr>
            <w:r w:rsidRPr="00EC109D">
              <w:rPr>
                <w:rFonts w:cs="Arial"/>
                <w:color w:val="000000"/>
              </w:rPr>
              <w:t>-10.02%</w:t>
            </w:r>
          </w:p>
        </w:tc>
      </w:tr>
    </w:tbl>
    <w:p w14:paraId="5EC385B9" w14:textId="77777777" w:rsidR="00BD3D4A" w:rsidRDefault="00BD3D4A" w:rsidP="00E52607"/>
    <w:p w14:paraId="7BF33F47" w14:textId="77777777" w:rsidR="00BD3D4A" w:rsidRDefault="00BD3D4A">
      <w:pPr>
        <w:spacing w:after="0"/>
        <w:rPr>
          <w:rFonts w:cstheme="minorHAnsi"/>
          <w:b/>
          <w:caps/>
          <w:color w:val="1F497D" w:themeColor="text2"/>
          <w:sz w:val="24"/>
          <w:szCs w:val="24"/>
        </w:rPr>
      </w:pPr>
      <w:r>
        <w:br w:type="page"/>
      </w:r>
    </w:p>
    <w:p w14:paraId="436F6C21" w14:textId="0DEDEEEA" w:rsidR="00571D36" w:rsidRDefault="00571D36" w:rsidP="00571D36">
      <w:pPr>
        <w:pStyle w:val="Heading2"/>
      </w:pPr>
      <w:r w:rsidRPr="00CF4E24">
        <w:lastRenderedPageBreak/>
        <w:t>Proposed Targets</w:t>
      </w:r>
      <w:r w:rsidR="008B1595">
        <w:t xml:space="preserve"> –</w:t>
      </w:r>
      <w:r w:rsidR="00864206">
        <w:t xml:space="preserve"> Indicator 14a</w:t>
      </w:r>
    </w:p>
    <w:p w14:paraId="24940B47" w14:textId="77777777" w:rsidR="00571D36" w:rsidRDefault="00571D36" w:rsidP="00571D36">
      <w:pPr>
        <w:pStyle w:val="ListParagraph"/>
        <w:numPr>
          <w:ilvl w:val="0"/>
          <w:numId w:val="16"/>
        </w:numPr>
        <w:spacing w:before="40" w:after="40"/>
        <w:contextualSpacing w:val="0"/>
        <w:rPr>
          <w:rFonts w:eastAsia="Times New Roman" w:cstheme="minorHAnsi"/>
          <w:color w:val="000000"/>
        </w:rPr>
      </w:pPr>
      <w:r>
        <w:rPr>
          <w:rFonts w:eastAsia="Times New Roman" w:cstheme="minorHAnsi"/>
          <w:color w:val="000000"/>
        </w:rPr>
        <w:t xml:space="preserve">Targets should be rigorous, yet attainable. </w:t>
      </w:r>
    </w:p>
    <w:p w14:paraId="5E815BBD" w14:textId="77777777" w:rsidR="00571D36" w:rsidRPr="0083583A" w:rsidRDefault="00571D36" w:rsidP="00571D36">
      <w:pPr>
        <w:pStyle w:val="ListParagraph"/>
        <w:numPr>
          <w:ilvl w:val="0"/>
          <w:numId w:val="16"/>
        </w:numPr>
      </w:pPr>
      <w:r w:rsidRPr="006B6B82">
        <w:rPr>
          <w:rFonts w:eastAsia="Times New Roman" w:cstheme="minorHAnsi"/>
          <w:color w:val="000000"/>
        </w:rPr>
        <w:t>Targets may remain the same several years in a row, though the final target year (2025-2026) must reflect improvement over baseline.</w:t>
      </w:r>
    </w:p>
    <w:p w14:paraId="23A93D4D" w14:textId="77777777" w:rsidR="00571D36" w:rsidRPr="006B6B82" w:rsidRDefault="00571D36" w:rsidP="00571D36">
      <w:pPr>
        <w:pStyle w:val="ListParagraph"/>
        <w:numPr>
          <w:ilvl w:val="0"/>
          <w:numId w:val="16"/>
        </w:numPr>
      </w:pPr>
      <w:r>
        <w:t>The goal for all components of indicator 14 is to be at or above the target.</w:t>
      </w:r>
    </w:p>
    <w:p w14:paraId="75603F94" w14:textId="539683BE" w:rsidR="002D5F6C" w:rsidRPr="00A36B3A" w:rsidRDefault="002D5F6C" w:rsidP="00A36B3A">
      <w:pPr>
        <w:pStyle w:val="Caption"/>
      </w:pPr>
      <w:r w:rsidRPr="00A36B3A">
        <w:t xml:space="preserve">Table </w:t>
      </w:r>
      <w:r>
        <w:fldChar w:fldCharType="begin"/>
      </w:r>
      <w:r>
        <w:instrText>SEQ Table \* ARABIC</w:instrText>
      </w:r>
      <w:r>
        <w:fldChar w:fldCharType="separate"/>
      </w:r>
      <w:r w:rsidR="003856B9">
        <w:rPr>
          <w:noProof/>
        </w:rPr>
        <w:t>3</w:t>
      </w:r>
      <w:r>
        <w:fldChar w:fldCharType="end"/>
      </w:r>
      <w:r w:rsidR="000B2BD6" w:rsidRPr="00A36B3A">
        <w:t>. Proposed Target Table Option A – Indicator 14a</w:t>
      </w:r>
    </w:p>
    <w:tbl>
      <w:tblPr>
        <w:tblStyle w:val="PlainTable1"/>
        <w:tblW w:w="5000" w:type="pct"/>
        <w:tblLook w:val="04A0" w:firstRow="1" w:lastRow="0" w:firstColumn="1" w:lastColumn="0" w:noHBand="0" w:noVBand="1"/>
        <w:tblCaption w:val="Proposed Target Table Option A Ind 14a"/>
        <w:tblDescription w:val="This table displays the first set of proposed target options, Option A, for indicator 14a."/>
      </w:tblPr>
      <w:tblGrid>
        <w:gridCol w:w="1952"/>
        <w:gridCol w:w="1105"/>
        <w:gridCol w:w="1105"/>
        <w:gridCol w:w="1105"/>
        <w:gridCol w:w="1105"/>
        <w:gridCol w:w="1105"/>
        <w:gridCol w:w="1105"/>
        <w:gridCol w:w="1105"/>
        <w:gridCol w:w="1103"/>
      </w:tblGrid>
      <w:tr w:rsidR="00864206" w:rsidRPr="00781DC6" w14:paraId="2D11633C" w14:textId="77777777" w:rsidTr="00E62B99">
        <w:trPr>
          <w:cnfStyle w:val="100000000000" w:firstRow="1" w:lastRow="0" w:firstColumn="0" w:lastColumn="0" w:oddVBand="0" w:evenVBand="0" w:oddHBand="0" w:evenHBand="0" w:firstRowFirstColumn="0" w:firstRowLastColumn="0" w:lastRowFirstColumn="0" w:lastRowLastColumn="0"/>
          <w:cantSplit/>
          <w:trHeight w:val="432"/>
          <w:tblHeader/>
        </w:trPr>
        <w:tc>
          <w:tcPr>
            <w:cnfStyle w:val="001000000000" w:firstRow="0" w:lastRow="0" w:firstColumn="1" w:lastColumn="0" w:oddVBand="0" w:evenVBand="0" w:oddHBand="0" w:evenHBand="0" w:firstRowFirstColumn="0" w:firstRowLastColumn="0" w:lastRowFirstColumn="0" w:lastRowLastColumn="0"/>
            <w:tcW w:w="905" w:type="pct"/>
          </w:tcPr>
          <w:p w14:paraId="23D4F7C7" w14:textId="00A18535" w:rsidR="00864206" w:rsidRPr="00781DC6" w:rsidRDefault="00781DC6" w:rsidP="00227E42">
            <w:pPr>
              <w:spacing w:after="0"/>
              <w:jc w:val="center"/>
            </w:pPr>
            <w:bookmarkStart w:id="4" w:name="Title_14a_Proposed_Targets_A"/>
            <w:bookmarkEnd w:id="4"/>
            <w:r w:rsidRPr="00781DC6">
              <w:t>Indicator 14a</w:t>
            </w:r>
          </w:p>
        </w:tc>
        <w:tc>
          <w:tcPr>
            <w:tcW w:w="512" w:type="pct"/>
          </w:tcPr>
          <w:p w14:paraId="3E8C912F" w14:textId="77777777" w:rsidR="00E62B99" w:rsidRPr="00BB44AF" w:rsidRDefault="00E62B99" w:rsidP="00E62B99">
            <w:pPr>
              <w:spacing w:after="0"/>
              <w:jc w:val="center"/>
              <w:cnfStyle w:val="100000000000" w:firstRow="1" w:lastRow="0" w:firstColumn="0" w:lastColumn="0" w:oddVBand="0" w:evenVBand="0" w:oddHBand="0" w:evenHBand="0" w:firstRowFirstColumn="0" w:firstRowLastColumn="0" w:lastRowFirstColumn="0" w:lastRowLastColumn="0"/>
              <w:rPr>
                <w:sz w:val="16"/>
                <w:szCs w:val="16"/>
              </w:rPr>
            </w:pPr>
            <w:r w:rsidRPr="00BB44AF">
              <w:rPr>
                <w:sz w:val="16"/>
                <w:szCs w:val="16"/>
              </w:rPr>
              <w:t>2009-2010</w:t>
            </w:r>
          </w:p>
          <w:p w14:paraId="3C3258D2" w14:textId="31AA9C68" w:rsidR="00781DC6" w:rsidRPr="00781DC6" w:rsidRDefault="00781DC6" w:rsidP="00227E42">
            <w:pPr>
              <w:spacing w:after="0"/>
              <w:jc w:val="center"/>
              <w:cnfStyle w:val="100000000000" w:firstRow="1" w:lastRow="0" w:firstColumn="0" w:lastColumn="0" w:oddVBand="0" w:evenVBand="0" w:oddHBand="0" w:evenHBand="0" w:firstRowFirstColumn="0" w:firstRowLastColumn="0" w:lastRowFirstColumn="0" w:lastRowLastColumn="0"/>
              <w:rPr>
                <w:sz w:val="20"/>
                <w:szCs w:val="20"/>
              </w:rPr>
            </w:pPr>
            <w:r w:rsidRPr="00BB44AF">
              <w:rPr>
                <w:sz w:val="16"/>
                <w:szCs w:val="16"/>
              </w:rPr>
              <w:t>Baseline</w:t>
            </w:r>
          </w:p>
        </w:tc>
        <w:tc>
          <w:tcPr>
            <w:tcW w:w="512" w:type="pct"/>
          </w:tcPr>
          <w:p w14:paraId="0092C84C" w14:textId="77777777" w:rsidR="00E62B99" w:rsidRPr="00BB44AF" w:rsidRDefault="00E62B99" w:rsidP="00E62B99">
            <w:pPr>
              <w:spacing w:after="0"/>
              <w:jc w:val="center"/>
              <w:cnfStyle w:val="100000000000" w:firstRow="1" w:lastRow="0" w:firstColumn="0" w:lastColumn="0" w:oddVBand="0" w:evenVBand="0" w:oddHBand="0" w:evenHBand="0" w:firstRowFirstColumn="0" w:firstRowLastColumn="0" w:lastRowFirstColumn="0" w:lastRowLastColumn="0"/>
              <w:rPr>
                <w:sz w:val="16"/>
                <w:szCs w:val="16"/>
              </w:rPr>
            </w:pPr>
            <w:r w:rsidRPr="00BB44AF">
              <w:rPr>
                <w:sz w:val="16"/>
                <w:szCs w:val="16"/>
              </w:rPr>
              <w:t>2019-2020</w:t>
            </w:r>
          </w:p>
          <w:p w14:paraId="72864DB9" w14:textId="1A1AC1A3" w:rsidR="00781DC6" w:rsidRPr="00781DC6" w:rsidRDefault="00781DC6" w:rsidP="00227E42">
            <w:pPr>
              <w:spacing w:after="0"/>
              <w:jc w:val="center"/>
              <w:cnfStyle w:val="100000000000" w:firstRow="1" w:lastRow="0" w:firstColumn="0" w:lastColumn="0" w:oddVBand="0" w:evenVBand="0" w:oddHBand="0" w:evenHBand="0" w:firstRowFirstColumn="0" w:firstRowLastColumn="0" w:lastRowFirstColumn="0" w:lastRowLastColumn="0"/>
              <w:rPr>
                <w:sz w:val="20"/>
                <w:szCs w:val="20"/>
              </w:rPr>
            </w:pPr>
            <w:r w:rsidRPr="00BB44AF">
              <w:rPr>
                <w:sz w:val="16"/>
                <w:szCs w:val="16"/>
              </w:rPr>
              <w:t>Data</w:t>
            </w:r>
          </w:p>
        </w:tc>
        <w:tc>
          <w:tcPr>
            <w:tcW w:w="512" w:type="pct"/>
          </w:tcPr>
          <w:p w14:paraId="38ABEEEF" w14:textId="77777777" w:rsidR="00E62B99" w:rsidRPr="00BB44AF" w:rsidRDefault="00E62B99" w:rsidP="00E62B99">
            <w:pPr>
              <w:spacing w:after="0"/>
              <w:jc w:val="center"/>
              <w:cnfStyle w:val="100000000000" w:firstRow="1" w:lastRow="0" w:firstColumn="0" w:lastColumn="0" w:oddVBand="0" w:evenVBand="0" w:oddHBand="0" w:evenHBand="0" w:firstRowFirstColumn="0" w:firstRowLastColumn="0" w:lastRowFirstColumn="0" w:lastRowLastColumn="0"/>
              <w:rPr>
                <w:sz w:val="16"/>
                <w:szCs w:val="16"/>
              </w:rPr>
            </w:pPr>
            <w:r w:rsidRPr="00BB44AF">
              <w:rPr>
                <w:sz w:val="16"/>
                <w:szCs w:val="16"/>
              </w:rPr>
              <w:t>2020-2021</w:t>
            </w:r>
          </w:p>
          <w:p w14:paraId="25609F74" w14:textId="36FA0A13" w:rsidR="00781DC6" w:rsidRPr="00781DC6" w:rsidRDefault="00781DC6" w:rsidP="00227E42">
            <w:pPr>
              <w:spacing w:after="0"/>
              <w:jc w:val="center"/>
              <w:cnfStyle w:val="100000000000" w:firstRow="1" w:lastRow="0" w:firstColumn="0" w:lastColumn="0" w:oddVBand="0" w:evenVBand="0" w:oddHBand="0" w:evenHBand="0" w:firstRowFirstColumn="0" w:firstRowLastColumn="0" w:lastRowFirstColumn="0" w:lastRowLastColumn="0"/>
              <w:rPr>
                <w:sz w:val="20"/>
                <w:szCs w:val="20"/>
              </w:rPr>
            </w:pPr>
            <w:r w:rsidRPr="00BB44AF">
              <w:rPr>
                <w:sz w:val="16"/>
                <w:szCs w:val="16"/>
              </w:rPr>
              <w:t>Proposed Target</w:t>
            </w:r>
          </w:p>
        </w:tc>
        <w:tc>
          <w:tcPr>
            <w:tcW w:w="512" w:type="pct"/>
          </w:tcPr>
          <w:p w14:paraId="06D1F8B1" w14:textId="7B3C8E60" w:rsidR="00864206" w:rsidRPr="00781DC6" w:rsidRDefault="00864206" w:rsidP="00227E42">
            <w:pPr>
              <w:spacing w:after="0"/>
              <w:jc w:val="center"/>
              <w:cnfStyle w:val="100000000000" w:firstRow="1" w:lastRow="0" w:firstColumn="0" w:lastColumn="0" w:oddVBand="0" w:evenVBand="0" w:oddHBand="0" w:evenHBand="0" w:firstRowFirstColumn="0" w:firstRowLastColumn="0" w:lastRowFirstColumn="0" w:lastRowLastColumn="0"/>
              <w:rPr>
                <w:sz w:val="20"/>
                <w:szCs w:val="20"/>
              </w:rPr>
            </w:pPr>
            <w:r w:rsidRPr="00BB44AF">
              <w:rPr>
                <w:sz w:val="16"/>
                <w:szCs w:val="16"/>
              </w:rPr>
              <w:t>2021-</w:t>
            </w:r>
            <w:r w:rsidR="00E62B99" w:rsidRPr="00BB44AF">
              <w:rPr>
                <w:sz w:val="16"/>
                <w:szCs w:val="16"/>
              </w:rPr>
              <w:t>2022</w:t>
            </w:r>
            <w:r w:rsidR="00781DC6" w:rsidRPr="00BB44AF">
              <w:rPr>
                <w:sz w:val="16"/>
                <w:szCs w:val="16"/>
              </w:rPr>
              <w:t xml:space="preserve"> Proposed Target</w:t>
            </w:r>
          </w:p>
        </w:tc>
        <w:tc>
          <w:tcPr>
            <w:tcW w:w="512" w:type="pct"/>
          </w:tcPr>
          <w:p w14:paraId="403E3FB8" w14:textId="6FD991A1" w:rsidR="00864206" w:rsidRPr="00781DC6" w:rsidRDefault="00864206" w:rsidP="00227E42">
            <w:pPr>
              <w:spacing w:after="0"/>
              <w:jc w:val="center"/>
              <w:cnfStyle w:val="100000000000" w:firstRow="1" w:lastRow="0" w:firstColumn="0" w:lastColumn="0" w:oddVBand="0" w:evenVBand="0" w:oddHBand="0" w:evenHBand="0" w:firstRowFirstColumn="0" w:firstRowLastColumn="0" w:lastRowFirstColumn="0" w:lastRowLastColumn="0"/>
              <w:rPr>
                <w:sz w:val="20"/>
                <w:szCs w:val="20"/>
              </w:rPr>
            </w:pPr>
            <w:r w:rsidRPr="00BB44AF">
              <w:rPr>
                <w:sz w:val="16"/>
                <w:szCs w:val="16"/>
              </w:rPr>
              <w:t>2022-</w:t>
            </w:r>
            <w:r w:rsidR="00E62B99" w:rsidRPr="00BB44AF">
              <w:rPr>
                <w:sz w:val="16"/>
                <w:szCs w:val="16"/>
              </w:rPr>
              <w:t>2023</w:t>
            </w:r>
            <w:r w:rsidR="00781DC6" w:rsidRPr="00BB44AF">
              <w:rPr>
                <w:sz w:val="16"/>
                <w:szCs w:val="16"/>
              </w:rPr>
              <w:t xml:space="preserve"> Proposed Target</w:t>
            </w:r>
          </w:p>
        </w:tc>
        <w:tc>
          <w:tcPr>
            <w:tcW w:w="512" w:type="pct"/>
          </w:tcPr>
          <w:p w14:paraId="2F1F5022" w14:textId="1BF8E8FA" w:rsidR="00864206" w:rsidRPr="00781DC6" w:rsidRDefault="00864206" w:rsidP="00227E42">
            <w:pPr>
              <w:spacing w:after="0"/>
              <w:jc w:val="center"/>
              <w:cnfStyle w:val="100000000000" w:firstRow="1" w:lastRow="0" w:firstColumn="0" w:lastColumn="0" w:oddVBand="0" w:evenVBand="0" w:oddHBand="0" w:evenHBand="0" w:firstRowFirstColumn="0" w:firstRowLastColumn="0" w:lastRowFirstColumn="0" w:lastRowLastColumn="0"/>
              <w:rPr>
                <w:sz w:val="20"/>
                <w:szCs w:val="20"/>
              </w:rPr>
            </w:pPr>
            <w:r w:rsidRPr="00BB44AF">
              <w:rPr>
                <w:sz w:val="16"/>
                <w:szCs w:val="16"/>
              </w:rPr>
              <w:t>2023-</w:t>
            </w:r>
            <w:r w:rsidR="00E62B99" w:rsidRPr="00BB44AF">
              <w:rPr>
                <w:sz w:val="16"/>
                <w:szCs w:val="16"/>
              </w:rPr>
              <w:t>2024</w:t>
            </w:r>
            <w:r w:rsidR="00781DC6" w:rsidRPr="00BB44AF">
              <w:rPr>
                <w:sz w:val="16"/>
                <w:szCs w:val="16"/>
              </w:rPr>
              <w:t xml:space="preserve"> Proposed Target</w:t>
            </w:r>
          </w:p>
        </w:tc>
        <w:tc>
          <w:tcPr>
            <w:tcW w:w="512" w:type="pct"/>
          </w:tcPr>
          <w:p w14:paraId="5F51FD78" w14:textId="439F189D" w:rsidR="00864206" w:rsidRPr="00781DC6" w:rsidRDefault="00864206" w:rsidP="00227E42">
            <w:pPr>
              <w:spacing w:after="0"/>
              <w:jc w:val="center"/>
              <w:cnfStyle w:val="100000000000" w:firstRow="1" w:lastRow="0" w:firstColumn="0" w:lastColumn="0" w:oddVBand="0" w:evenVBand="0" w:oddHBand="0" w:evenHBand="0" w:firstRowFirstColumn="0" w:firstRowLastColumn="0" w:lastRowFirstColumn="0" w:lastRowLastColumn="0"/>
              <w:rPr>
                <w:sz w:val="20"/>
                <w:szCs w:val="20"/>
              </w:rPr>
            </w:pPr>
            <w:r w:rsidRPr="00BB44AF">
              <w:rPr>
                <w:sz w:val="16"/>
                <w:szCs w:val="16"/>
              </w:rPr>
              <w:t>2024-</w:t>
            </w:r>
            <w:r w:rsidR="00E62B99" w:rsidRPr="00BB44AF">
              <w:rPr>
                <w:sz w:val="16"/>
                <w:szCs w:val="16"/>
              </w:rPr>
              <w:t>2025</w:t>
            </w:r>
            <w:r w:rsidR="00781DC6" w:rsidRPr="00BB44AF">
              <w:rPr>
                <w:sz w:val="16"/>
                <w:szCs w:val="16"/>
              </w:rPr>
              <w:t xml:space="preserve"> Proposed Target</w:t>
            </w:r>
          </w:p>
        </w:tc>
        <w:tc>
          <w:tcPr>
            <w:tcW w:w="512" w:type="pct"/>
          </w:tcPr>
          <w:p w14:paraId="6775CB9E" w14:textId="518683B6" w:rsidR="00864206" w:rsidRPr="00781DC6" w:rsidRDefault="00864206" w:rsidP="00227E42">
            <w:pPr>
              <w:spacing w:after="0"/>
              <w:jc w:val="center"/>
              <w:cnfStyle w:val="100000000000" w:firstRow="1" w:lastRow="0" w:firstColumn="0" w:lastColumn="0" w:oddVBand="0" w:evenVBand="0" w:oddHBand="0" w:evenHBand="0" w:firstRowFirstColumn="0" w:firstRowLastColumn="0" w:lastRowFirstColumn="0" w:lastRowLastColumn="0"/>
              <w:rPr>
                <w:sz w:val="20"/>
                <w:szCs w:val="20"/>
              </w:rPr>
            </w:pPr>
            <w:r w:rsidRPr="00BB44AF">
              <w:rPr>
                <w:sz w:val="16"/>
                <w:szCs w:val="16"/>
              </w:rPr>
              <w:t>2025-</w:t>
            </w:r>
            <w:r w:rsidR="00E62B99" w:rsidRPr="00BB44AF">
              <w:rPr>
                <w:sz w:val="16"/>
                <w:szCs w:val="16"/>
              </w:rPr>
              <w:t>2026</w:t>
            </w:r>
            <w:r w:rsidR="00781DC6" w:rsidRPr="00BB44AF">
              <w:rPr>
                <w:sz w:val="16"/>
                <w:szCs w:val="16"/>
              </w:rPr>
              <w:t xml:space="preserve"> Proposed Target</w:t>
            </w:r>
          </w:p>
        </w:tc>
      </w:tr>
      <w:tr w:rsidR="00864206" w14:paraId="58D9927F" w14:textId="77777777" w:rsidTr="00C76D53">
        <w:trPr>
          <w:cnfStyle w:val="000000100000" w:firstRow="0" w:lastRow="0" w:firstColumn="0" w:lastColumn="0" w:oddVBand="0" w:evenVBand="0" w:oddHBand="1" w:evenHBand="0" w:firstRowFirstColumn="0" w:firstRowLastColumn="0" w:lastRowFirstColumn="0" w:lastRowLastColumn="0"/>
          <w:cantSplit/>
          <w:trHeight w:val="432"/>
        </w:trPr>
        <w:tc>
          <w:tcPr>
            <w:cnfStyle w:val="001000000000" w:firstRow="0" w:lastRow="0" w:firstColumn="1" w:lastColumn="0" w:oddVBand="0" w:evenVBand="0" w:oddHBand="0" w:evenHBand="0" w:firstRowFirstColumn="0" w:firstRowLastColumn="0" w:lastRowFirstColumn="0" w:lastRowLastColumn="0"/>
            <w:tcW w:w="905" w:type="pct"/>
          </w:tcPr>
          <w:p w14:paraId="0F18D1C9" w14:textId="77777777" w:rsidR="00864206" w:rsidRPr="00781DC6" w:rsidRDefault="00864206" w:rsidP="00227E42">
            <w:pPr>
              <w:spacing w:after="0"/>
              <w:jc w:val="center"/>
              <w:rPr>
                <w:b w:val="0"/>
                <w:bCs w:val="0"/>
                <w:sz w:val="20"/>
                <w:szCs w:val="20"/>
              </w:rPr>
            </w:pPr>
            <w:r w:rsidRPr="00781DC6">
              <w:rPr>
                <w:b w:val="0"/>
                <w:bCs w:val="0"/>
                <w:sz w:val="20"/>
                <w:szCs w:val="20"/>
              </w:rPr>
              <w:t>14a: Percentage youth with IEPs enrolled in higher education within one year of leaving high school</w:t>
            </w:r>
          </w:p>
        </w:tc>
        <w:tc>
          <w:tcPr>
            <w:tcW w:w="512" w:type="pct"/>
            <w:vAlign w:val="center"/>
          </w:tcPr>
          <w:p w14:paraId="4634CF74" w14:textId="77777777" w:rsidR="00864206" w:rsidRDefault="00864206" w:rsidP="00C76D53">
            <w:pPr>
              <w:spacing w:after="0"/>
              <w:jc w:val="center"/>
              <w:cnfStyle w:val="000000100000" w:firstRow="0" w:lastRow="0" w:firstColumn="0" w:lastColumn="0" w:oddVBand="0" w:evenVBand="0" w:oddHBand="1" w:evenHBand="0" w:firstRowFirstColumn="0" w:firstRowLastColumn="0" w:lastRowFirstColumn="0" w:lastRowLastColumn="0"/>
            </w:pPr>
            <w:r>
              <w:t>39.60%</w:t>
            </w:r>
          </w:p>
        </w:tc>
        <w:tc>
          <w:tcPr>
            <w:tcW w:w="512" w:type="pct"/>
            <w:vAlign w:val="center"/>
          </w:tcPr>
          <w:p w14:paraId="73078142" w14:textId="77777777" w:rsidR="00864206" w:rsidRDefault="00864206" w:rsidP="00C76D53">
            <w:pPr>
              <w:spacing w:after="0"/>
              <w:jc w:val="center"/>
              <w:cnfStyle w:val="000000100000" w:firstRow="0" w:lastRow="0" w:firstColumn="0" w:lastColumn="0" w:oddVBand="0" w:evenVBand="0" w:oddHBand="1" w:evenHBand="0" w:firstRowFirstColumn="0" w:firstRowLastColumn="0" w:lastRowFirstColumn="0" w:lastRowLastColumn="0"/>
            </w:pPr>
            <w:r>
              <w:t>29.68%</w:t>
            </w:r>
          </w:p>
        </w:tc>
        <w:tc>
          <w:tcPr>
            <w:tcW w:w="512" w:type="pct"/>
            <w:vAlign w:val="center"/>
          </w:tcPr>
          <w:p w14:paraId="01F6C54E" w14:textId="77777777" w:rsidR="00864206" w:rsidRDefault="00864206" w:rsidP="00C76D53">
            <w:pPr>
              <w:spacing w:after="0"/>
              <w:jc w:val="center"/>
              <w:cnfStyle w:val="000000100000" w:firstRow="0" w:lastRow="0" w:firstColumn="0" w:lastColumn="0" w:oddVBand="0" w:evenVBand="0" w:oddHBand="1" w:evenHBand="0" w:firstRowFirstColumn="0" w:firstRowLastColumn="0" w:lastRowFirstColumn="0" w:lastRowLastColumn="0"/>
            </w:pPr>
            <w:r>
              <w:t>29.68%</w:t>
            </w:r>
          </w:p>
        </w:tc>
        <w:tc>
          <w:tcPr>
            <w:tcW w:w="512" w:type="pct"/>
            <w:vAlign w:val="center"/>
          </w:tcPr>
          <w:p w14:paraId="72FBEC6B" w14:textId="77777777" w:rsidR="00864206" w:rsidRDefault="00864206" w:rsidP="00C76D53">
            <w:pPr>
              <w:spacing w:after="0"/>
              <w:jc w:val="center"/>
              <w:cnfStyle w:val="000000100000" w:firstRow="0" w:lastRow="0" w:firstColumn="0" w:lastColumn="0" w:oddVBand="0" w:evenVBand="0" w:oddHBand="1" w:evenHBand="0" w:firstRowFirstColumn="0" w:firstRowLastColumn="0" w:lastRowFirstColumn="0" w:lastRowLastColumn="0"/>
            </w:pPr>
            <w:r>
              <w:t>31.00%</w:t>
            </w:r>
          </w:p>
        </w:tc>
        <w:tc>
          <w:tcPr>
            <w:tcW w:w="512" w:type="pct"/>
            <w:vAlign w:val="center"/>
          </w:tcPr>
          <w:p w14:paraId="45A9AFB9" w14:textId="77777777" w:rsidR="00864206" w:rsidRDefault="00864206" w:rsidP="00C76D53">
            <w:pPr>
              <w:spacing w:after="0"/>
              <w:jc w:val="center"/>
              <w:cnfStyle w:val="000000100000" w:firstRow="0" w:lastRow="0" w:firstColumn="0" w:lastColumn="0" w:oddVBand="0" w:evenVBand="0" w:oddHBand="1" w:evenHBand="0" w:firstRowFirstColumn="0" w:firstRowLastColumn="0" w:lastRowFirstColumn="0" w:lastRowLastColumn="0"/>
            </w:pPr>
            <w:r>
              <w:t>32.00%</w:t>
            </w:r>
          </w:p>
        </w:tc>
        <w:tc>
          <w:tcPr>
            <w:tcW w:w="512" w:type="pct"/>
            <w:vAlign w:val="center"/>
          </w:tcPr>
          <w:p w14:paraId="19C71783" w14:textId="77777777" w:rsidR="00864206" w:rsidRDefault="00864206" w:rsidP="00C76D53">
            <w:pPr>
              <w:spacing w:after="0"/>
              <w:jc w:val="center"/>
              <w:cnfStyle w:val="000000100000" w:firstRow="0" w:lastRow="0" w:firstColumn="0" w:lastColumn="0" w:oddVBand="0" w:evenVBand="0" w:oddHBand="1" w:evenHBand="0" w:firstRowFirstColumn="0" w:firstRowLastColumn="0" w:lastRowFirstColumn="0" w:lastRowLastColumn="0"/>
            </w:pPr>
            <w:r>
              <w:t>33.00%</w:t>
            </w:r>
          </w:p>
        </w:tc>
        <w:tc>
          <w:tcPr>
            <w:tcW w:w="512" w:type="pct"/>
            <w:vAlign w:val="center"/>
          </w:tcPr>
          <w:p w14:paraId="05DDC520" w14:textId="77777777" w:rsidR="00864206" w:rsidRDefault="00864206" w:rsidP="00C76D53">
            <w:pPr>
              <w:spacing w:after="0"/>
              <w:jc w:val="center"/>
              <w:cnfStyle w:val="000000100000" w:firstRow="0" w:lastRow="0" w:firstColumn="0" w:lastColumn="0" w:oddVBand="0" w:evenVBand="0" w:oddHBand="1" w:evenHBand="0" w:firstRowFirstColumn="0" w:firstRowLastColumn="0" w:lastRowFirstColumn="0" w:lastRowLastColumn="0"/>
            </w:pPr>
            <w:r>
              <w:t>34.00%</w:t>
            </w:r>
          </w:p>
        </w:tc>
        <w:tc>
          <w:tcPr>
            <w:tcW w:w="512" w:type="pct"/>
            <w:vAlign w:val="center"/>
          </w:tcPr>
          <w:p w14:paraId="27E00982" w14:textId="77777777" w:rsidR="00864206" w:rsidRDefault="00864206" w:rsidP="00C76D53">
            <w:pPr>
              <w:spacing w:after="0"/>
              <w:jc w:val="center"/>
              <w:cnfStyle w:val="000000100000" w:firstRow="0" w:lastRow="0" w:firstColumn="0" w:lastColumn="0" w:oddVBand="0" w:evenVBand="0" w:oddHBand="1" w:evenHBand="0" w:firstRowFirstColumn="0" w:firstRowLastColumn="0" w:lastRowFirstColumn="0" w:lastRowLastColumn="0"/>
            </w:pPr>
            <w:r w:rsidRPr="004F69C1">
              <w:t>39.65%</w:t>
            </w:r>
          </w:p>
        </w:tc>
      </w:tr>
    </w:tbl>
    <w:p w14:paraId="47D603FF" w14:textId="2C1C1D4B" w:rsidR="00864206" w:rsidRDefault="00864206" w:rsidP="00864206">
      <w:pPr>
        <w:pStyle w:val="Heading3"/>
        <w:rPr>
          <w:rFonts w:eastAsiaTheme="minorHAnsi"/>
        </w:rPr>
      </w:pPr>
      <w:r w:rsidRPr="00CF4E24">
        <w:rPr>
          <w:rFonts w:eastAsiaTheme="minorHAnsi"/>
        </w:rPr>
        <w:t xml:space="preserve">Option </w:t>
      </w:r>
      <w:r>
        <w:rPr>
          <w:rFonts w:eastAsiaTheme="minorHAnsi"/>
        </w:rPr>
        <w:t>A</w:t>
      </w:r>
      <w:r w:rsidRPr="00CF4E24">
        <w:rPr>
          <w:rFonts w:eastAsiaTheme="minorHAnsi"/>
        </w:rPr>
        <w:t xml:space="preserve"> Rationale</w:t>
      </w:r>
      <w:r>
        <w:rPr>
          <w:rFonts w:eastAsiaTheme="minorHAnsi"/>
        </w:rPr>
        <w:t xml:space="preserve"> – Indicator 14a</w:t>
      </w:r>
    </w:p>
    <w:p w14:paraId="049DA02B" w14:textId="39ABFB92" w:rsidR="00A36B3A" w:rsidRPr="004A395D" w:rsidRDefault="00A36B3A" w:rsidP="004A395D">
      <w:pPr>
        <w:pStyle w:val="ListParagraph"/>
        <w:numPr>
          <w:ilvl w:val="0"/>
          <w:numId w:val="36"/>
        </w:numPr>
        <w:spacing w:before="120"/>
        <w:contextualSpacing w:val="0"/>
        <w:rPr>
          <w:rFonts w:cstheme="minorHAnsi"/>
        </w:rPr>
      </w:pPr>
      <w:r w:rsidRPr="004A395D">
        <w:rPr>
          <w:rFonts w:cstheme="minorHAnsi"/>
        </w:rPr>
        <w:t>With the strategies, initiatives and legislation described under the Programmatic Considerations on p</w:t>
      </w:r>
      <w:r w:rsidR="00CA28FD">
        <w:rPr>
          <w:rFonts w:cstheme="minorHAnsi"/>
        </w:rPr>
        <w:t>ages</w:t>
      </w:r>
      <w:r w:rsidRPr="004A395D">
        <w:rPr>
          <w:rFonts w:cstheme="minorHAnsi"/>
        </w:rPr>
        <w:t xml:space="preserve"> 9-10, the </w:t>
      </w:r>
      <w:r w:rsidR="00CA28FD">
        <w:rPr>
          <w:rFonts w:cstheme="minorHAnsi"/>
        </w:rPr>
        <w:t xml:space="preserve">Ohio </w:t>
      </w:r>
      <w:r w:rsidRPr="004A395D">
        <w:rPr>
          <w:rFonts w:cstheme="minorHAnsi"/>
        </w:rPr>
        <w:t xml:space="preserve">Department </w:t>
      </w:r>
      <w:r w:rsidR="00CA28FD">
        <w:rPr>
          <w:rFonts w:cstheme="minorHAnsi"/>
        </w:rPr>
        <w:t xml:space="preserve">of Education </w:t>
      </w:r>
      <w:r w:rsidRPr="004A395D">
        <w:rPr>
          <w:rFonts w:cstheme="minorHAnsi"/>
        </w:rPr>
        <w:t xml:space="preserve">expects consistent growth over the course of the upcoming target years. </w:t>
      </w:r>
    </w:p>
    <w:p w14:paraId="4D9C99F1" w14:textId="76A44E99" w:rsidR="00A36B3A" w:rsidRPr="004A395D" w:rsidRDefault="00A36B3A" w:rsidP="004A395D">
      <w:pPr>
        <w:pStyle w:val="ListParagraph"/>
        <w:numPr>
          <w:ilvl w:val="0"/>
          <w:numId w:val="36"/>
        </w:numPr>
        <w:spacing w:before="120"/>
        <w:contextualSpacing w:val="0"/>
        <w:rPr>
          <w:rFonts w:cstheme="minorHAnsi"/>
        </w:rPr>
      </w:pPr>
      <w:r w:rsidRPr="004A395D">
        <w:rPr>
          <w:rStyle w:val="normaltextrun"/>
          <w:rFonts w:cs="Arial"/>
          <w:color w:val="000000"/>
        </w:rPr>
        <w:t>In comparison to Ohio’s 2019-20 performance, m</w:t>
      </w:r>
      <w:r w:rsidRPr="004A395D">
        <w:rPr>
          <w:rFonts w:cs="Arial"/>
        </w:rPr>
        <w:t xml:space="preserve">eeting the final target of 39.65% by 2025-26 will require </w:t>
      </w:r>
      <w:r w:rsidRPr="004A395D">
        <w:rPr>
          <w:rFonts w:cs="Arial"/>
          <w:b/>
          <w:bCs/>
        </w:rPr>
        <w:t>105</w:t>
      </w:r>
      <w:r w:rsidRPr="004A395D">
        <w:rPr>
          <w:rFonts w:cs="Arial"/>
        </w:rPr>
        <w:t xml:space="preserve"> more students with disabilities within the survey sample to enroll in higher education within one year of leaving high school.</w:t>
      </w:r>
    </w:p>
    <w:p w14:paraId="57990DF8" w14:textId="16ED2DB2" w:rsidR="00A36B3A" w:rsidRDefault="00A36B3A" w:rsidP="00A36B3A">
      <w:pPr>
        <w:pStyle w:val="Caption"/>
        <w:keepNext/>
      </w:pPr>
      <w:r>
        <w:t xml:space="preserve">Table </w:t>
      </w:r>
      <w:r>
        <w:fldChar w:fldCharType="begin"/>
      </w:r>
      <w:r>
        <w:instrText>SEQ Table \* ARABIC</w:instrText>
      </w:r>
      <w:r>
        <w:fldChar w:fldCharType="separate"/>
      </w:r>
      <w:r w:rsidR="003856B9">
        <w:rPr>
          <w:noProof/>
        </w:rPr>
        <w:t>4</w:t>
      </w:r>
      <w:r>
        <w:fldChar w:fldCharType="end"/>
      </w:r>
      <w:r>
        <w:t>. Proposed Target Table Option B – Indicator 14a</w:t>
      </w:r>
    </w:p>
    <w:tbl>
      <w:tblPr>
        <w:tblStyle w:val="PlainTable1"/>
        <w:tblW w:w="5000" w:type="pct"/>
        <w:tblLook w:val="04A0" w:firstRow="1" w:lastRow="0" w:firstColumn="1" w:lastColumn="0" w:noHBand="0" w:noVBand="1"/>
        <w:tblCaption w:val="Proposed Target Table Option B Ind 14a"/>
        <w:tblDescription w:val="This table displays the second set of proposed target options, Option B, for indicator 14a."/>
      </w:tblPr>
      <w:tblGrid>
        <w:gridCol w:w="1952"/>
        <w:gridCol w:w="1105"/>
        <w:gridCol w:w="1105"/>
        <w:gridCol w:w="1105"/>
        <w:gridCol w:w="1105"/>
        <w:gridCol w:w="1105"/>
        <w:gridCol w:w="1105"/>
        <w:gridCol w:w="1105"/>
        <w:gridCol w:w="1103"/>
      </w:tblGrid>
      <w:tr w:rsidR="00A36B3A" w:rsidRPr="00781DC6" w14:paraId="77CDF594" w14:textId="77777777" w:rsidTr="00E62B99">
        <w:trPr>
          <w:cnfStyle w:val="100000000000" w:firstRow="1" w:lastRow="0" w:firstColumn="0" w:lastColumn="0" w:oddVBand="0" w:evenVBand="0" w:oddHBand="0" w:evenHBand="0" w:firstRowFirstColumn="0" w:firstRowLastColumn="0" w:lastRowFirstColumn="0" w:lastRowLastColumn="0"/>
          <w:cantSplit/>
          <w:trHeight w:val="432"/>
          <w:tblHeader/>
        </w:trPr>
        <w:tc>
          <w:tcPr>
            <w:cnfStyle w:val="001000000000" w:firstRow="0" w:lastRow="0" w:firstColumn="1" w:lastColumn="0" w:oddVBand="0" w:evenVBand="0" w:oddHBand="0" w:evenHBand="0" w:firstRowFirstColumn="0" w:firstRowLastColumn="0" w:lastRowFirstColumn="0" w:lastRowLastColumn="0"/>
            <w:tcW w:w="905" w:type="pct"/>
          </w:tcPr>
          <w:p w14:paraId="418A48D0" w14:textId="77777777" w:rsidR="00A36B3A" w:rsidRPr="00781DC6" w:rsidRDefault="00A36B3A" w:rsidP="00D03C9D">
            <w:pPr>
              <w:spacing w:after="0"/>
              <w:jc w:val="center"/>
            </w:pPr>
            <w:bookmarkStart w:id="5" w:name="Title_14a_Proposed_Targets_B"/>
            <w:bookmarkEnd w:id="5"/>
            <w:r w:rsidRPr="00781DC6">
              <w:t>Indicator 14a</w:t>
            </w:r>
          </w:p>
        </w:tc>
        <w:tc>
          <w:tcPr>
            <w:tcW w:w="512" w:type="pct"/>
          </w:tcPr>
          <w:p w14:paraId="6D0C8116" w14:textId="77777777" w:rsidR="00E62B99" w:rsidRPr="00BB44AF" w:rsidRDefault="00E62B99" w:rsidP="00E62B99">
            <w:pPr>
              <w:spacing w:after="0"/>
              <w:jc w:val="center"/>
              <w:cnfStyle w:val="100000000000" w:firstRow="1" w:lastRow="0" w:firstColumn="0" w:lastColumn="0" w:oddVBand="0" w:evenVBand="0" w:oddHBand="0" w:evenHBand="0" w:firstRowFirstColumn="0" w:firstRowLastColumn="0" w:lastRowFirstColumn="0" w:lastRowLastColumn="0"/>
              <w:rPr>
                <w:sz w:val="16"/>
                <w:szCs w:val="16"/>
              </w:rPr>
            </w:pPr>
            <w:r w:rsidRPr="00BB44AF">
              <w:rPr>
                <w:sz w:val="16"/>
                <w:szCs w:val="16"/>
              </w:rPr>
              <w:t>2009-2010</w:t>
            </w:r>
          </w:p>
          <w:p w14:paraId="48FCC9CB" w14:textId="13C10A54" w:rsidR="00A36B3A" w:rsidRPr="00781DC6" w:rsidRDefault="00A36B3A" w:rsidP="00D03C9D">
            <w:pPr>
              <w:spacing w:after="0"/>
              <w:jc w:val="center"/>
              <w:cnfStyle w:val="100000000000" w:firstRow="1" w:lastRow="0" w:firstColumn="0" w:lastColumn="0" w:oddVBand="0" w:evenVBand="0" w:oddHBand="0" w:evenHBand="0" w:firstRowFirstColumn="0" w:firstRowLastColumn="0" w:lastRowFirstColumn="0" w:lastRowLastColumn="0"/>
              <w:rPr>
                <w:sz w:val="20"/>
                <w:szCs w:val="20"/>
              </w:rPr>
            </w:pPr>
            <w:r w:rsidRPr="00BB44AF">
              <w:rPr>
                <w:sz w:val="16"/>
                <w:szCs w:val="16"/>
              </w:rPr>
              <w:t>Baseline</w:t>
            </w:r>
          </w:p>
        </w:tc>
        <w:tc>
          <w:tcPr>
            <w:tcW w:w="512" w:type="pct"/>
          </w:tcPr>
          <w:p w14:paraId="30E6440D" w14:textId="77777777" w:rsidR="00E62B99" w:rsidRPr="00BB44AF" w:rsidRDefault="00E62B99" w:rsidP="00E62B99">
            <w:pPr>
              <w:spacing w:after="0"/>
              <w:jc w:val="center"/>
              <w:cnfStyle w:val="100000000000" w:firstRow="1" w:lastRow="0" w:firstColumn="0" w:lastColumn="0" w:oddVBand="0" w:evenVBand="0" w:oddHBand="0" w:evenHBand="0" w:firstRowFirstColumn="0" w:firstRowLastColumn="0" w:lastRowFirstColumn="0" w:lastRowLastColumn="0"/>
              <w:rPr>
                <w:sz w:val="16"/>
                <w:szCs w:val="16"/>
              </w:rPr>
            </w:pPr>
            <w:r w:rsidRPr="00BB44AF">
              <w:rPr>
                <w:sz w:val="16"/>
                <w:szCs w:val="16"/>
              </w:rPr>
              <w:t>2019-2020</w:t>
            </w:r>
          </w:p>
          <w:p w14:paraId="4E931029" w14:textId="0CCD7015" w:rsidR="00A36B3A" w:rsidRPr="00781DC6" w:rsidRDefault="00A36B3A" w:rsidP="00D03C9D">
            <w:pPr>
              <w:spacing w:after="0"/>
              <w:jc w:val="center"/>
              <w:cnfStyle w:val="100000000000" w:firstRow="1" w:lastRow="0" w:firstColumn="0" w:lastColumn="0" w:oddVBand="0" w:evenVBand="0" w:oddHBand="0" w:evenHBand="0" w:firstRowFirstColumn="0" w:firstRowLastColumn="0" w:lastRowFirstColumn="0" w:lastRowLastColumn="0"/>
              <w:rPr>
                <w:sz w:val="20"/>
                <w:szCs w:val="20"/>
              </w:rPr>
            </w:pPr>
            <w:r w:rsidRPr="00BB44AF">
              <w:rPr>
                <w:sz w:val="16"/>
                <w:szCs w:val="16"/>
              </w:rPr>
              <w:t>Data</w:t>
            </w:r>
          </w:p>
        </w:tc>
        <w:tc>
          <w:tcPr>
            <w:tcW w:w="512" w:type="pct"/>
          </w:tcPr>
          <w:p w14:paraId="1205CDFE" w14:textId="77777777" w:rsidR="00E62B99" w:rsidRPr="00BB44AF" w:rsidRDefault="00E62B99" w:rsidP="00E62B99">
            <w:pPr>
              <w:spacing w:after="0"/>
              <w:jc w:val="center"/>
              <w:cnfStyle w:val="100000000000" w:firstRow="1" w:lastRow="0" w:firstColumn="0" w:lastColumn="0" w:oddVBand="0" w:evenVBand="0" w:oddHBand="0" w:evenHBand="0" w:firstRowFirstColumn="0" w:firstRowLastColumn="0" w:lastRowFirstColumn="0" w:lastRowLastColumn="0"/>
              <w:rPr>
                <w:sz w:val="16"/>
                <w:szCs w:val="16"/>
              </w:rPr>
            </w:pPr>
            <w:r w:rsidRPr="00BB44AF">
              <w:rPr>
                <w:sz w:val="16"/>
                <w:szCs w:val="16"/>
              </w:rPr>
              <w:t>2020-2021</w:t>
            </w:r>
          </w:p>
          <w:p w14:paraId="776C8F92" w14:textId="03BC51CF" w:rsidR="00A36B3A" w:rsidRPr="00781DC6" w:rsidRDefault="00A36B3A" w:rsidP="00D03C9D">
            <w:pPr>
              <w:spacing w:after="0"/>
              <w:jc w:val="center"/>
              <w:cnfStyle w:val="100000000000" w:firstRow="1" w:lastRow="0" w:firstColumn="0" w:lastColumn="0" w:oddVBand="0" w:evenVBand="0" w:oddHBand="0" w:evenHBand="0" w:firstRowFirstColumn="0" w:firstRowLastColumn="0" w:lastRowFirstColumn="0" w:lastRowLastColumn="0"/>
              <w:rPr>
                <w:sz w:val="20"/>
                <w:szCs w:val="20"/>
              </w:rPr>
            </w:pPr>
            <w:r w:rsidRPr="00BB44AF">
              <w:rPr>
                <w:sz w:val="16"/>
                <w:szCs w:val="16"/>
              </w:rPr>
              <w:t>Proposed Target</w:t>
            </w:r>
          </w:p>
        </w:tc>
        <w:tc>
          <w:tcPr>
            <w:tcW w:w="512" w:type="pct"/>
          </w:tcPr>
          <w:p w14:paraId="1ACCBAC5" w14:textId="5C043AE6" w:rsidR="00A36B3A" w:rsidRPr="00781DC6" w:rsidRDefault="00A36B3A" w:rsidP="00D03C9D">
            <w:pPr>
              <w:spacing w:after="0"/>
              <w:jc w:val="center"/>
              <w:cnfStyle w:val="100000000000" w:firstRow="1" w:lastRow="0" w:firstColumn="0" w:lastColumn="0" w:oddVBand="0" w:evenVBand="0" w:oddHBand="0" w:evenHBand="0" w:firstRowFirstColumn="0" w:firstRowLastColumn="0" w:lastRowFirstColumn="0" w:lastRowLastColumn="0"/>
              <w:rPr>
                <w:sz w:val="20"/>
                <w:szCs w:val="20"/>
              </w:rPr>
            </w:pPr>
            <w:r w:rsidRPr="00BB44AF">
              <w:rPr>
                <w:sz w:val="16"/>
                <w:szCs w:val="16"/>
              </w:rPr>
              <w:t>2021-</w:t>
            </w:r>
            <w:r w:rsidR="00E62B99" w:rsidRPr="00BB44AF">
              <w:rPr>
                <w:sz w:val="16"/>
                <w:szCs w:val="16"/>
              </w:rPr>
              <w:t>2022</w:t>
            </w:r>
            <w:r w:rsidRPr="00BB44AF">
              <w:rPr>
                <w:sz w:val="16"/>
                <w:szCs w:val="16"/>
              </w:rPr>
              <w:t xml:space="preserve"> Proposed Target</w:t>
            </w:r>
          </w:p>
        </w:tc>
        <w:tc>
          <w:tcPr>
            <w:tcW w:w="512" w:type="pct"/>
          </w:tcPr>
          <w:p w14:paraId="3B25CC3E" w14:textId="27FF8E23" w:rsidR="00A36B3A" w:rsidRPr="00781DC6" w:rsidRDefault="00A36B3A" w:rsidP="00D03C9D">
            <w:pPr>
              <w:spacing w:after="0"/>
              <w:jc w:val="center"/>
              <w:cnfStyle w:val="100000000000" w:firstRow="1" w:lastRow="0" w:firstColumn="0" w:lastColumn="0" w:oddVBand="0" w:evenVBand="0" w:oddHBand="0" w:evenHBand="0" w:firstRowFirstColumn="0" w:firstRowLastColumn="0" w:lastRowFirstColumn="0" w:lastRowLastColumn="0"/>
              <w:rPr>
                <w:sz w:val="20"/>
                <w:szCs w:val="20"/>
              </w:rPr>
            </w:pPr>
            <w:r w:rsidRPr="00BB44AF">
              <w:rPr>
                <w:sz w:val="16"/>
                <w:szCs w:val="16"/>
              </w:rPr>
              <w:t>2022-</w:t>
            </w:r>
            <w:r w:rsidR="00E62B99" w:rsidRPr="00BB44AF">
              <w:rPr>
                <w:sz w:val="16"/>
                <w:szCs w:val="16"/>
              </w:rPr>
              <w:t>2023</w:t>
            </w:r>
            <w:r w:rsidRPr="00BB44AF">
              <w:rPr>
                <w:sz w:val="16"/>
                <w:szCs w:val="16"/>
              </w:rPr>
              <w:t xml:space="preserve"> Proposed Target</w:t>
            </w:r>
          </w:p>
        </w:tc>
        <w:tc>
          <w:tcPr>
            <w:tcW w:w="512" w:type="pct"/>
          </w:tcPr>
          <w:p w14:paraId="3419349A" w14:textId="2417E266" w:rsidR="00A36B3A" w:rsidRPr="00781DC6" w:rsidRDefault="00A36B3A" w:rsidP="00D03C9D">
            <w:pPr>
              <w:spacing w:after="0"/>
              <w:jc w:val="center"/>
              <w:cnfStyle w:val="100000000000" w:firstRow="1" w:lastRow="0" w:firstColumn="0" w:lastColumn="0" w:oddVBand="0" w:evenVBand="0" w:oddHBand="0" w:evenHBand="0" w:firstRowFirstColumn="0" w:firstRowLastColumn="0" w:lastRowFirstColumn="0" w:lastRowLastColumn="0"/>
              <w:rPr>
                <w:sz w:val="20"/>
                <w:szCs w:val="20"/>
              </w:rPr>
            </w:pPr>
            <w:r w:rsidRPr="00BB44AF">
              <w:rPr>
                <w:sz w:val="16"/>
                <w:szCs w:val="16"/>
              </w:rPr>
              <w:t>2023-</w:t>
            </w:r>
            <w:r w:rsidR="00E62B99" w:rsidRPr="00BB44AF">
              <w:rPr>
                <w:sz w:val="16"/>
                <w:szCs w:val="16"/>
              </w:rPr>
              <w:t>2024</w:t>
            </w:r>
            <w:r w:rsidRPr="00BB44AF">
              <w:rPr>
                <w:sz w:val="16"/>
                <w:szCs w:val="16"/>
              </w:rPr>
              <w:t xml:space="preserve"> Proposed Target</w:t>
            </w:r>
          </w:p>
        </w:tc>
        <w:tc>
          <w:tcPr>
            <w:tcW w:w="512" w:type="pct"/>
          </w:tcPr>
          <w:p w14:paraId="4603B5C3" w14:textId="3767365D" w:rsidR="00A36B3A" w:rsidRPr="00781DC6" w:rsidRDefault="00A36B3A" w:rsidP="00D03C9D">
            <w:pPr>
              <w:spacing w:after="0"/>
              <w:jc w:val="center"/>
              <w:cnfStyle w:val="100000000000" w:firstRow="1" w:lastRow="0" w:firstColumn="0" w:lastColumn="0" w:oddVBand="0" w:evenVBand="0" w:oddHBand="0" w:evenHBand="0" w:firstRowFirstColumn="0" w:firstRowLastColumn="0" w:lastRowFirstColumn="0" w:lastRowLastColumn="0"/>
              <w:rPr>
                <w:sz w:val="20"/>
                <w:szCs w:val="20"/>
              </w:rPr>
            </w:pPr>
            <w:r w:rsidRPr="00BB44AF">
              <w:rPr>
                <w:sz w:val="16"/>
                <w:szCs w:val="16"/>
              </w:rPr>
              <w:t>2024-</w:t>
            </w:r>
            <w:r w:rsidR="00E62B99" w:rsidRPr="00BB44AF">
              <w:rPr>
                <w:sz w:val="16"/>
                <w:szCs w:val="16"/>
              </w:rPr>
              <w:t>2025</w:t>
            </w:r>
            <w:r w:rsidRPr="00BB44AF">
              <w:rPr>
                <w:sz w:val="16"/>
                <w:szCs w:val="16"/>
              </w:rPr>
              <w:t xml:space="preserve"> Proposed Target</w:t>
            </w:r>
          </w:p>
        </w:tc>
        <w:tc>
          <w:tcPr>
            <w:tcW w:w="512" w:type="pct"/>
          </w:tcPr>
          <w:p w14:paraId="1760CE10" w14:textId="6BDF284F" w:rsidR="00A36B3A" w:rsidRPr="00781DC6" w:rsidRDefault="00A36B3A" w:rsidP="00D03C9D">
            <w:pPr>
              <w:spacing w:after="0"/>
              <w:jc w:val="center"/>
              <w:cnfStyle w:val="100000000000" w:firstRow="1" w:lastRow="0" w:firstColumn="0" w:lastColumn="0" w:oddVBand="0" w:evenVBand="0" w:oddHBand="0" w:evenHBand="0" w:firstRowFirstColumn="0" w:firstRowLastColumn="0" w:lastRowFirstColumn="0" w:lastRowLastColumn="0"/>
              <w:rPr>
                <w:sz w:val="20"/>
                <w:szCs w:val="20"/>
              </w:rPr>
            </w:pPr>
            <w:r w:rsidRPr="00BB44AF">
              <w:rPr>
                <w:sz w:val="16"/>
                <w:szCs w:val="16"/>
              </w:rPr>
              <w:t>2025-</w:t>
            </w:r>
            <w:r w:rsidR="00E62B99" w:rsidRPr="00BB44AF">
              <w:rPr>
                <w:sz w:val="16"/>
                <w:szCs w:val="16"/>
              </w:rPr>
              <w:t>2026</w:t>
            </w:r>
            <w:r w:rsidRPr="00BB44AF">
              <w:rPr>
                <w:sz w:val="16"/>
                <w:szCs w:val="16"/>
              </w:rPr>
              <w:t xml:space="preserve"> Proposed Target</w:t>
            </w:r>
          </w:p>
        </w:tc>
      </w:tr>
      <w:tr w:rsidR="00A36B3A" w14:paraId="5E5061F3" w14:textId="77777777" w:rsidTr="00C76D53">
        <w:trPr>
          <w:cnfStyle w:val="000000100000" w:firstRow="0" w:lastRow="0" w:firstColumn="0" w:lastColumn="0" w:oddVBand="0" w:evenVBand="0" w:oddHBand="1" w:evenHBand="0" w:firstRowFirstColumn="0" w:firstRowLastColumn="0" w:lastRowFirstColumn="0" w:lastRowLastColumn="0"/>
          <w:cantSplit/>
          <w:trHeight w:val="432"/>
        </w:trPr>
        <w:tc>
          <w:tcPr>
            <w:cnfStyle w:val="001000000000" w:firstRow="0" w:lastRow="0" w:firstColumn="1" w:lastColumn="0" w:oddVBand="0" w:evenVBand="0" w:oddHBand="0" w:evenHBand="0" w:firstRowFirstColumn="0" w:firstRowLastColumn="0" w:lastRowFirstColumn="0" w:lastRowLastColumn="0"/>
            <w:tcW w:w="905" w:type="pct"/>
          </w:tcPr>
          <w:p w14:paraId="335330B1" w14:textId="77777777" w:rsidR="00A36B3A" w:rsidRPr="00781DC6" w:rsidRDefault="00A36B3A" w:rsidP="00A36B3A">
            <w:pPr>
              <w:spacing w:after="0"/>
              <w:jc w:val="center"/>
              <w:rPr>
                <w:b w:val="0"/>
                <w:bCs w:val="0"/>
                <w:sz w:val="20"/>
                <w:szCs w:val="20"/>
              </w:rPr>
            </w:pPr>
            <w:r w:rsidRPr="00781DC6">
              <w:rPr>
                <w:b w:val="0"/>
                <w:bCs w:val="0"/>
                <w:sz w:val="20"/>
                <w:szCs w:val="20"/>
              </w:rPr>
              <w:t>14a: Percentage youth with IEPs enrolled in higher education within one year of leaving high school</w:t>
            </w:r>
          </w:p>
        </w:tc>
        <w:tc>
          <w:tcPr>
            <w:tcW w:w="512" w:type="pct"/>
            <w:vAlign w:val="center"/>
          </w:tcPr>
          <w:p w14:paraId="197FCEF2" w14:textId="77777777" w:rsidR="00A36B3A" w:rsidRDefault="00A36B3A" w:rsidP="00C76D53">
            <w:pPr>
              <w:spacing w:after="0"/>
              <w:jc w:val="center"/>
              <w:cnfStyle w:val="000000100000" w:firstRow="0" w:lastRow="0" w:firstColumn="0" w:lastColumn="0" w:oddVBand="0" w:evenVBand="0" w:oddHBand="1" w:evenHBand="0" w:firstRowFirstColumn="0" w:firstRowLastColumn="0" w:lastRowFirstColumn="0" w:lastRowLastColumn="0"/>
            </w:pPr>
            <w:r>
              <w:t>39.60%</w:t>
            </w:r>
          </w:p>
        </w:tc>
        <w:tc>
          <w:tcPr>
            <w:tcW w:w="512" w:type="pct"/>
            <w:vAlign w:val="center"/>
          </w:tcPr>
          <w:p w14:paraId="5732C8D1" w14:textId="4A20035C" w:rsidR="00A36B3A" w:rsidRDefault="00A36B3A" w:rsidP="00C76D53">
            <w:pPr>
              <w:spacing w:after="0"/>
              <w:jc w:val="center"/>
              <w:cnfStyle w:val="000000100000" w:firstRow="0" w:lastRow="0" w:firstColumn="0" w:lastColumn="0" w:oddVBand="0" w:evenVBand="0" w:oddHBand="1" w:evenHBand="0" w:firstRowFirstColumn="0" w:firstRowLastColumn="0" w:lastRowFirstColumn="0" w:lastRowLastColumn="0"/>
            </w:pPr>
            <w:r>
              <w:t>29.68%</w:t>
            </w:r>
          </w:p>
        </w:tc>
        <w:tc>
          <w:tcPr>
            <w:tcW w:w="512" w:type="pct"/>
            <w:vAlign w:val="center"/>
          </w:tcPr>
          <w:p w14:paraId="524EEEE3" w14:textId="7901FD03" w:rsidR="00A36B3A" w:rsidRDefault="00A36B3A" w:rsidP="00C76D53">
            <w:pPr>
              <w:spacing w:after="0"/>
              <w:jc w:val="center"/>
              <w:cnfStyle w:val="000000100000" w:firstRow="0" w:lastRow="0" w:firstColumn="0" w:lastColumn="0" w:oddVBand="0" w:evenVBand="0" w:oddHBand="1" w:evenHBand="0" w:firstRowFirstColumn="0" w:firstRowLastColumn="0" w:lastRowFirstColumn="0" w:lastRowLastColumn="0"/>
            </w:pPr>
            <w:r>
              <w:t>29.68%</w:t>
            </w:r>
          </w:p>
        </w:tc>
        <w:tc>
          <w:tcPr>
            <w:tcW w:w="512" w:type="pct"/>
            <w:vAlign w:val="center"/>
          </w:tcPr>
          <w:p w14:paraId="392F690F" w14:textId="283ADF77" w:rsidR="00A36B3A" w:rsidRDefault="00A36B3A" w:rsidP="00C76D53">
            <w:pPr>
              <w:spacing w:after="0"/>
              <w:jc w:val="center"/>
              <w:cnfStyle w:val="000000100000" w:firstRow="0" w:lastRow="0" w:firstColumn="0" w:lastColumn="0" w:oddVBand="0" w:evenVBand="0" w:oddHBand="1" w:evenHBand="0" w:firstRowFirstColumn="0" w:firstRowLastColumn="0" w:lastRowFirstColumn="0" w:lastRowLastColumn="0"/>
            </w:pPr>
            <w:r w:rsidRPr="009D5581">
              <w:t>32.00%</w:t>
            </w:r>
          </w:p>
        </w:tc>
        <w:tc>
          <w:tcPr>
            <w:tcW w:w="512" w:type="pct"/>
            <w:vAlign w:val="center"/>
          </w:tcPr>
          <w:p w14:paraId="6ADE422F" w14:textId="6DF4B1C6" w:rsidR="00A36B3A" w:rsidRDefault="00A36B3A" w:rsidP="00C76D53">
            <w:pPr>
              <w:spacing w:after="0"/>
              <w:jc w:val="center"/>
              <w:cnfStyle w:val="000000100000" w:firstRow="0" w:lastRow="0" w:firstColumn="0" w:lastColumn="0" w:oddVBand="0" w:evenVBand="0" w:oddHBand="1" w:evenHBand="0" w:firstRowFirstColumn="0" w:firstRowLastColumn="0" w:lastRowFirstColumn="0" w:lastRowLastColumn="0"/>
            </w:pPr>
            <w:r w:rsidRPr="009D5581">
              <w:t>34.00%</w:t>
            </w:r>
          </w:p>
        </w:tc>
        <w:tc>
          <w:tcPr>
            <w:tcW w:w="512" w:type="pct"/>
            <w:vAlign w:val="center"/>
          </w:tcPr>
          <w:p w14:paraId="6B9DE7D4" w14:textId="57347E23" w:rsidR="00A36B3A" w:rsidRDefault="00A36B3A" w:rsidP="00C76D53">
            <w:pPr>
              <w:spacing w:after="0"/>
              <w:jc w:val="center"/>
              <w:cnfStyle w:val="000000100000" w:firstRow="0" w:lastRow="0" w:firstColumn="0" w:lastColumn="0" w:oddVBand="0" w:evenVBand="0" w:oddHBand="1" w:evenHBand="0" w:firstRowFirstColumn="0" w:firstRowLastColumn="0" w:lastRowFirstColumn="0" w:lastRowLastColumn="0"/>
            </w:pPr>
            <w:r w:rsidRPr="009D5581">
              <w:t>36.00%</w:t>
            </w:r>
          </w:p>
        </w:tc>
        <w:tc>
          <w:tcPr>
            <w:tcW w:w="512" w:type="pct"/>
            <w:vAlign w:val="center"/>
          </w:tcPr>
          <w:p w14:paraId="23D39971" w14:textId="5B39E27D" w:rsidR="00A36B3A" w:rsidRDefault="00A36B3A" w:rsidP="00C76D53">
            <w:pPr>
              <w:spacing w:after="0"/>
              <w:jc w:val="center"/>
              <w:cnfStyle w:val="000000100000" w:firstRow="0" w:lastRow="0" w:firstColumn="0" w:lastColumn="0" w:oddVBand="0" w:evenVBand="0" w:oddHBand="1" w:evenHBand="0" w:firstRowFirstColumn="0" w:firstRowLastColumn="0" w:lastRowFirstColumn="0" w:lastRowLastColumn="0"/>
            </w:pPr>
            <w:r w:rsidRPr="009D5581">
              <w:t>38.00%</w:t>
            </w:r>
          </w:p>
        </w:tc>
        <w:tc>
          <w:tcPr>
            <w:tcW w:w="512" w:type="pct"/>
            <w:vAlign w:val="center"/>
          </w:tcPr>
          <w:p w14:paraId="07B24D69" w14:textId="23D9AF4E" w:rsidR="00A36B3A" w:rsidRDefault="00A36B3A" w:rsidP="00C76D53">
            <w:pPr>
              <w:spacing w:after="0"/>
              <w:jc w:val="center"/>
              <w:cnfStyle w:val="000000100000" w:firstRow="0" w:lastRow="0" w:firstColumn="0" w:lastColumn="0" w:oddVBand="0" w:evenVBand="0" w:oddHBand="1" w:evenHBand="0" w:firstRowFirstColumn="0" w:firstRowLastColumn="0" w:lastRowFirstColumn="0" w:lastRowLastColumn="0"/>
            </w:pPr>
            <w:r w:rsidRPr="009D5581">
              <w:t>40.00%</w:t>
            </w:r>
          </w:p>
        </w:tc>
      </w:tr>
    </w:tbl>
    <w:p w14:paraId="5746EC49" w14:textId="782EB047" w:rsidR="00864206" w:rsidRDefault="00864206" w:rsidP="00864206">
      <w:pPr>
        <w:pStyle w:val="Heading3"/>
        <w:rPr>
          <w:rFonts w:eastAsiaTheme="minorHAnsi"/>
        </w:rPr>
      </w:pPr>
      <w:r w:rsidRPr="00CF4E24">
        <w:rPr>
          <w:rFonts w:eastAsiaTheme="minorHAnsi"/>
        </w:rPr>
        <w:t xml:space="preserve">Option </w:t>
      </w:r>
      <w:r>
        <w:rPr>
          <w:rFonts w:eastAsiaTheme="minorHAnsi"/>
        </w:rPr>
        <w:t>B</w:t>
      </w:r>
      <w:r w:rsidRPr="00CF4E24">
        <w:rPr>
          <w:rFonts w:eastAsiaTheme="minorHAnsi"/>
        </w:rPr>
        <w:t xml:space="preserve"> Rationale</w:t>
      </w:r>
      <w:r>
        <w:rPr>
          <w:rFonts w:eastAsiaTheme="minorHAnsi"/>
        </w:rPr>
        <w:t xml:space="preserve"> – Indicator 14a</w:t>
      </w:r>
    </w:p>
    <w:p w14:paraId="16745357" w14:textId="77777777" w:rsidR="00A36B3A" w:rsidRPr="004A395D" w:rsidRDefault="00A36B3A" w:rsidP="004A395D">
      <w:pPr>
        <w:pStyle w:val="ListParagraph"/>
        <w:numPr>
          <w:ilvl w:val="0"/>
          <w:numId w:val="37"/>
        </w:numPr>
        <w:spacing w:before="120"/>
        <w:contextualSpacing w:val="0"/>
        <w:rPr>
          <w:rFonts w:cstheme="minorHAnsi"/>
        </w:rPr>
      </w:pPr>
      <w:r w:rsidRPr="004A395D">
        <w:rPr>
          <w:rFonts w:cstheme="minorHAnsi"/>
        </w:rPr>
        <w:t>Option B is a more rigorous option in comparison to Option A.</w:t>
      </w:r>
    </w:p>
    <w:p w14:paraId="07ADE55C" w14:textId="77777777" w:rsidR="00A36B3A" w:rsidRPr="004A395D" w:rsidRDefault="00A36B3A" w:rsidP="004A395D">
      <w:pPr>
        <w:pStyle w:val="ListParagraph"/>
        <w:numPr>
          <w:ilvl w:val="0"/>
          <w:numId w:val="37"/>
        </w:numPr>
        <w:spacing w:before="120"/>
        <w:contextualSpacing w:val="0"/>
        <w:rPr>
          <w:rFonts w:cstheme="minorHAnsi"/>
        </w:rPr>
      </w:pPr>
      <w:r w:rsidRPr="004A395D">
        <w:rPr>
          <w:rFonts w:cstheme="minorHAnsi"/>
        </w:rPr>
        <w:t>The targets for the 2025-26 year would be the highest targets ever set for indicator 14.</w:t>
      </w:r>
    </w:p>
    <w:p w14:paraId="3544A91A" w14:textId="77777777" w:rsidR="00A36B3A" w:rsidRPr="004A395D" w:rsidRDefault="00A36B3A" w:rsidP="004A395D">
      <w:pPr>
        <w:pStyle w:val="ListParagraph"/>
        <w:numPr>
          <w:ilvl w:val="0"/>
          <w:numId w:val="37"/>
        </w:numPr>
        <w:spacing w:before="120"/>
        <w:contextualSpacing w:val="0"/>
        <w:rPr>
          <w:rFonts w:cstheme="minorHAnsi"/>
        </w:rPr>
      </w:pPr>
      <w:r w:rsidRPr="004A395D">
        <w:rPr>
          <w:rFonts w:cstheme="minorHAnsi"/>
        </w:rPr>
        <w:t xml:space="preserve">The Ohio Department of Education is programmatically situated to support these rigorous targets. </w:t>
      </w:r>
    </w:p>
    <w:p w14:paraId="7F4AA1E9" w14:textId="37FAACE8" w:rsidR="00A36B3A" w:rsidRPr="004A395D" w:rsidRDefault="00A36B3A" w:rsidP="004A395D">
      <w:pPr>
        <w:pStyle w:val="ListParagraph"/>
        <w:numPr>
          <w:ilvl w:val="0"/>
          <w:numId w:val="37"/>
        </w:numPr>
        <w:spacing w:before="120"/>
        <w:contextualSpacing w:val="0"/>
        <w:rPr>
          <w:rFonts w:cstheme="minorHAnsi"/>
        </w:rPr>
      </w:pPr>
      <w:r w:rsidRPr="004A395D">
        <w:rPr>
          <w:rFonts w:cstheme="minorHAnsi"/>
        </w:rPr>
        <w:t>With the strategies, initiatives and legislation described under the Programmatic Considerations on p</w:t>
      </w:r>
      <w:r w:rsidR="009B0A67">
        <w:rPr>
          <w:rFonts w:cstheme="minorHAnsi"/>
        </w:rPr>
        <w:t>ages</w:t>
      </w:r>
      <w:r w:rsidR="004A395D">
        <w:rPr>
          <w:rFonts w:cstheme="minorHAnsi"/>
        </w:rPr>
        <w:t xml:space="preserve"> </w:t>
      </w:r>
      <w:r w:rsidRPr="004A395D">
        <w:rPr>
          <w:rFonts w:cstheme="minorHAnsi"/>
        </w:rPr>
        <w:t xml:space="preserve">9-10, the </w:t>
      </w:r>
      <w:r w:rsidR="009B0A67">
        <w:rPr>
          <w:rFonts w:cstheme="minorHAnsi"/>
        </w:rPr>
        <w:t xml:space="preserve">Ohio </w:t>
      </w:r>
      <w:r w:rsidRPr="004A395D">
        <w:rPr>
          <w:rFonts w:cstheme="minorHAnsi"/>
        </w:rPr>
        <w:t>Department</w:t>
      </w:r>
      <w:r w:rsidR="009B0A67">
        <w:rPr>
          <w:rFonts w:cstheme="minorHAnsi"/>
        </w:rPr>
        <w:t xml:space="preserve"> of Education</w:t>
      </w:r>
      <w:r w:rsidRPr="004A395D">
        <w:rPr>
          <w:rFonts w:cstheme="minorHAnsi"/>
        </w:rPr>
        <w:t xml:space="preserve"> expects consistent growth over the course of the upcoming target years.</w:t>
      </w:r>
    </w:p>
    <w:p w14:paraId="322D7F2B" w14:textId="49479912" w:rsidR="00A36B3A" w:rsidRPr="004A395D" w:rsidRDefault="00A36B3A" w:rsidP="004A395D">
      <w:pPr>
        <w:pStyle w:val="ListParagraph"/>
        <w:numPr>
          <w:ilvl w:val="0"/>
          <w:numId w:val="37"/>
        </w:numPr>
        <w:spacing w:before="120"/>
        <w:contextualSpacing w:val="0"/>
        <w:rPr>
          <w:rFonts w:cstheme="minorHAnsi"/>
        </w:rPr>
      </w:pPr>
      <w:r w:rsidRPr="008D65C8">
        <w:rPr>
          <w:rStyle w:val="normaltextrun"/>
          <w:rFonts w:cs="Arial"/>
          <w:color w:val="000000"/>
        </w:rPr>
        <w:t>In comparison to Ohio’s 2019-20 performance, m</w:t>
      </w:r>
      <w:r w:rsidRPr="008D65C8">
        <w:rPr>
          <w:rFonts w:cs="Arial"/>
        </w:rPr>
        <w:t>eeting the</w:t>
      </w:r>
      <w:r w:rsidRPr="004A395D">
        <w:rPr>
          <w:rFonts w:cstheme="minorHAnsi"/>
        </w:rPr>
        <w:t xml:space="preserve"> final target of 40% by 2025-26 will require </w:t>
      </w:r>
      <w:r w:rsidRPr="004A395D">
        <w:rPr>
          <w:b/>
          <w:bCs/>
        </w:rPr>
        <w:t>108</w:t>
      </w:r>
      <w:r w:rsidRPr="00285A8A">
        <w:t xml:space="preserve"> more students with disabilities </w:t>
      </w:r>
      <w:r>
        <w:t>within the survey sample</w:t>
      </w:r>
      <w:r w:rsidRPr="00285A8A">
        <w:t xml:space="preserve"> to enroll in higher education within one year of leaving high school.</w:t>
      </w:r>
    </w:p>
    <w:p w14:paraId="045D2DE8" w14:textId="413DDDB3" w:rsidR="008B1595" w:rsidRDefault="008B1595" w:rsidP="008B1595">
      <w:pPr>
        <w:pStyle w:val="Heading2"/>
      </w:pPr>
      <w:r>
        <w:lastRenderedPageBreak/>
        <w:t>How has Ohio performed over time on indicator 14b?</w:t>
      </w:r>
    </w:p>
    <w:p w14:paraId="1B53B3B0" w14:textId="13F4079E" w:rsidR="0038157F" w:rsidRDefault="00E34A0E" w:rsidP="0038157F">
      <w:pPr>
        <w:keepNext/>
        <w:jc w:val="center"/>
      </w:pPr>
      <w:r>
        <w:rPr>
          <w:noProof/>
        </w:rPr>
        <w:drawing>
          <wp:inline distT="0" distB="0" distL="0" distR="0" wp14:anchorId="13D4F984" wp14:editId="088AA2B6">
            <wp:extent cx="6400800" cy="2743200"/>
            <wp:effectExtent l="0" t="0" r="0" b="0"/>
            <wp:docPr id="3" name="Chart 3" descr="Line graph showing Ohio's performance on indicator 14b over six years.">
              <a:extLst xmlns:a="http://schemas.openxmlformats.org/drawingml/2006/main">
                <a:ext uri="{FF2B5EF4-FFF2-40B4-BE49-F238E27FC236}">
                  <a16:creationId xmlns:a16="http://schemas.microsoft.com/office/drawing/2014/main" id="{19BEEBF3-C30F-4990-9BD3-AA0758F6D53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BB93E94" w14:textId="21570341" w:rsidR="00DE1706" w:rsidRDefault="0038157F" w:rsidP="00323405">
      <w:pPr>
        <w:pStyle w:val="Caption"/>
      </w:pPr>
      <w:r>
        <w:t xml:space="preserve">Figure </w:t>
      </w:r>
      <w:r>
        <w:fldChar w:fldCharType="begin"/>
      </w:r>
      <w:r>
        <w:instrText>SEQ Figure \* ARABIC</w:instrText>
      </w:r>
      <w:r>
        <w:fldChar w:fldCharType="separate"/>
      </w:r>
      <w:r w:rsidR="005152AA">
        <w:rPr>
          <w:noProof/>
        </w:rPr>
        <w:t>3</w:t>
      </w:r>
      <w:r>
        <w:fldChar w:fldCharType="end"/>
      </w:r>
      <w:r>
        <w:t xml:space="preserve">. </w:t>
      </w:r>
      <w:r w:rsidR="006C6D73" w:rsidRPr="00343411">
        <w:t xml:space="preserve">Ohio’s percentage of students with disabilities enrolled in higher education </w:t>
      </w:r>
      <w:r w:rsidR="006C6D73">
        <w:t xml:space="preserve">or competitively employed </w:t>
      </w:r>
      <w:r w:rsidR="006C6D73" w:rsidRPr="00343411">
        <w:t xml:space="preserve">within one year of leaving high school increased from </w:t>
      </w:r>
      <w:r w:rsidR="006C6D73">
        <w:t>66.55</w:t>
      </w:r>
      <w:r w:rsidR="006C6D73" w:rsidRPr="00343411">
        <w:t xml:space="preserve">% in 2014-15 to </w:t>
      </w:r>
      <w:r w:rsidR="006C6D73">
        <w:t>79.01</w:t>
      </w:r>
      <w:r w:rsidR="006C6D73" w:rsidRPr="00343411">
        <w:t>% in 2019-20.</w:t>
      </w:r>
    </w:p>
    <w:p w14:paraId="2D1FF89F" w14:textId="2899287D" w:rsidR="00323405" w:rsidRDefault="00323405" w:rsidP="00323405">
      <w:pPr>
        <w:pStyle w:val="Caption"/>
        <w:keepNext/>
      </w:pPr>
      <w:r>
        <w:t xml:space="preserve">Table </w:t>
      </w:r>
      <w:r>
        <w:fldChar w:fldCharType="begin"/>
      </w:r>
      <w:r>
        <w:instrText>SEQ Table \* ARABIC</w:instrText>
      </w:r>
      <w:r>
        <w:fldChar w:fldCharType="separate"/>
      </w:r>
      <w:r w:rsidR="003856B9">
        <w:rPr>
          <w:noProof/>
        </w:rPr>
        <w:t>5</w:t>
      </w:r>
      <w:r>
        <w:fldChar w:fldCharType="end"/>
      </w:r>
      <w:r>
        <w:t xml:space="preserve">. </w:t>
      </w:r>
      <w:r w:rsidRPr="00323405">
        <w:t>Number of students with disabilities enrolled in higher education or competitively employed within one year of leaving high school, number of respondent youth with disabilities, percentage and change in percentage from 2014-15 to 2019-20.</w:t>
      </w:r>
    </w:p>
    <w:tbl>
      <w:tblPr>
        <w:tblStyle w:val="PlainTable1"/>
        <w:tblW w:w="0" w:type="auto"/>
        <w:tblLayout w:type="fixed"/>
        <w:tblLook w:val="04A0" w:firstRow="1" w:lastRow="0" w:firstColumn="1" w:lastColumn="0" w:noHBand="0" w:noVBand="1"/>
        <w:tblCaption w:val="Ind 14b Higher Ed or Competitively Employed"/>
        <w:tblDescription w:val="Number of students with disabilities enrolled in higher education or competitively employed within one year of leaving high school, number of respondent youth with disabilities, percentage, and change in percentage from 2014-15 to 2019-20."/>
      </w:tblPr>
      <w:tblGrid>
        <w:gridCol w:w="4135"/>
        <w:gridCol w:w="1109"/>
        <w:gridCol w:w="1109"/>
        <w:gridCol w:w="1109"/>
        <w:gridCol w:w="1109"/>
        <w:gridCol w:w="1109"/>
        <w:gridCol w:w="1110"/>
      </w:tblGrid>
      <w:tr w:rsidR="002721D1" w:rsidRPr="003729A5" w14:paraId="558A5032" w14:textId="77777777" w:rsidTr="002721D1">
        <w:trPr>
          <w:cnfStyle w:val="100000000000" w:firstRow="1" w:lastRow="0" w:firstColumn="0" w:lastColumn="0" w:oddVBand="0" w:evenVBand="0" w:oddHBand="0" w:evenHBand="0" w:firstRowFirstColumn="0" w:firstRowLastColumn="0" w:lastRowFirstColumn="0" w:lastRowLastColumn="0"/>
          <w:cantSplit/>
          <w:trHeight w:val="290"/>
          <w:tblHeader/>
        </w:trPr>
        <w:tc>
          <w:tcPr>
            <w:cnfStyle w:val="001000000000" w:firstRow="0" w:lastRow="0" w:firstColumn="1" w:lastColumn="0" w:oddVBand="0" w:evenVBand="0" w:oddHBand="0" w:evenHBand="0" w:firstRowFirstColumn="0" w:firstRowLastColumn="0" w:lastRowFirstColumn="0" w:lastRowLastColumn="0"/>
            <w:tcW w:w="4135" w:type="dxa"/>
            <w:noWrap/>
            <w:hideMark/>
          </w:tcPr>
          <w:p w14:paraId="71E7A1E0" w14:textId="48E9FCF3" w:rsidR="003729A5" w:rsidRPr="003729A5" w:rsidRDefault="00FA4539" w:rsidP="003729A5">
            <w:pPr>
              <w:spacing w:after="0"/>
              <w:jc w:val="center"/>
              <w:rPr>
                <w:rFonts w:eastAsia="Times New Roman" w:cs="Arial"/>
                <w:b w:val="0"/>
                <w:bCs w:val="0"/>
                <w:color w:val="000000"/>
              </w:rPr>
            </w:pPr>
            <w:bookmarkStart w:id="6" w:name="Title_14b_Higher_Ed_Comp_Emp"/>
            <w:bookmarkEnd w:id="6"/>
            <w:r>
              <w:rPr>
                <w:rFonts w:eastAsia="Times New Roman" w:cs="Arial"/>
                <w:color w:val="000000"/>
              </w:rPr>
              <w:t xml:space="preserve">Indicator </w:t>
            </w:r>
            <w:r w:rsidR="003729A5" w:rsidRPr="003729A5">
              <w:rPr>
                <w:rFonts w:eastAsia="Times New Roman" w:cs="Arial"/>
                <w:color w:val="000000"/>
              </w:rPr>
              <w:t>14b</w:t>
            </w:r>
          </w:p>
        </w:tc>
        <w:tc>
          <w:tcPr>
            <w:tcW w:w="1109" w:type="dxa"/>
            <w:hideMark/>
          </w:tcPr>
          <w:p w14:paraId="5E39F7DF" w14:textId="255BAEDE" w:rsidR="003729A5" w:rsidRPr="003729A5" w:rsidRDefault="00524B8D" w:rsidP="003729A5">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000000"/>
              </w:rPr>
            </w:pPr>
            <w:r>
              <w:rPr>
                <w:rFonts w:eastAsia="Times New Roman" w:cs="Arial"/>
                <w:color w:val="000000"/>
              </w:rPr>
              <w:t>20</w:t>
            </w:r>
            <w:r w:rsidR="003729A5" w:rsidRPr="003729A5">
              <w:rPr>
                <w:rFonts w:eastAsia="Times New Roman" w:cs="Arial"/>
                <w:color w:val="000000"/>
              </w:rPr>
              <w:t>14-15</w:t>
            </w:r>
          </w:p>
        </w:tc>
        <w:tc>
          <w:tcPr>
            <w:tcW w:w="1109" w:type="dxa"/>
            <w:hideMark/>
          </w:tcPr>
          <w:p w14:paraId="70E71C9F" w14:textId="29251853" w:rsidR="003729A5" w:rsidRPr="003729A5" w:rsidRDefault="00524B8D" w:rsidP="003729A5">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000000"/>
              </w:rPr>
            </w:pPr>
            <w:r>
              <w:rPr>
                <w:rFonts w:eastAsia="Times New Roman" w:cs="Arial"/>
                <w:color w:val="000000"/>
              </w:rPr>
              <w:t>20</w:t>
            </w:r>
            <w:r w:rsidR="003729A5" w:rsidRPr="003729A5">
              <w:rPr>
                <w:rFonts w:eastAsia="Times New Roman" w:cs="Arial"/>
                <w:color w:val="000000"/>
              </w:rPr>
              <w:t>15-16</w:t>
            </w:r>
          </w:p>
        </w:tc>
        <w:tc>
          <w:tcPr>
            <w:tcW w:w="1109" w:type="dxa"/>
            <w:hideMark/>
          </w:tcPr>
          <w:p w14:paraId="6D41EE34" w14:textId="4D15FEB0" w:rsidR="003729A5" w:rsidRPr="003729A5" w:rsidRDefault="00524B8D" w:rsidP="003729A5">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000000"/>
              </w:rPr>
            </w:pPr>
            <w:r>
              <w:rPr>
                <w:rFonts w:eastAsia="Times New Roman" w:cs="Arial"/>
                <w:color w:val="000000"/>
              </w:rPr>
              <w:t>20</w:t>
            </w:r>
            <w:r w:rsidR="003729A5" w:rsidRPr="003729A5">
              <w:rPr>
                <w:rFonts w:eastAsia="Times New Roman" w:cs="Arial"/>
                <w:color w:val="000000"/>
              </w:rPr>
              <w:t>16-17</w:t>
            </w:r>
          </w:p>
        </w:tc>
        <w:tc>
          <w:tcPr>
            <w:tcW w:w="1109" w:type="dxa"/>
            <w:hideMark/>
          </w:tcPr>
          <w:p w14:paraId="155C3735" w14:textId="0E5D55F8" w:rsidR="003729A5" w:rsidRPr="003729A5" w:rsidRDefault="00524B8D" w:rsidP="003729A5">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000000"/>
              </w:rPr>
            </w:pPr>
            <w:r>
              <w:rPr>
                <w:rFonts w:eastAsia="Times New Roman" w:cs="Arial"/>
                <w:color w:val="000000"/>
              </w:rPr>
              <w:t>20</w:t>
            </w:r>
            <w:r w:rsidR="003729A5" w:rsidRPr="003729A5">
              <w:rPr>
                <w:rFonts w:eastAsia="Times New Roman" w:cs="Arial"/>
                <w:color w:val="000000"/>
              </w:rPr>
              <w:t>17-18</w:t>
            </w:r>
          </w:p>
        </w:tc>
        <w:tc>
          <w:tcPr>
            <w:tcW w:w="1109" w:type="dxa"/>
            <w:hideMark/>
          </w:tcPr>
          <w:p w14:paraId="0DBE988A" w14:textId="7FABDAF6" w:rsidR="003729A5" w:rsidRPr="003729A5" w:rsidRDefault="00524B8D" w:rsidP="003729A5">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000000"/>
              </w:rPr>
            </w:pPr>
            <w:r>
              <w:rPr>
                <w:rFonts w:eastAsia="Times New Roman" w:cs="Arial"/>
                <w:color w:val="000000"/>
              </w:rPr>
              <w:t>20</w:t>
            </w:r>
            <w:r w:rsidR="003729A5" w:rsidRPr="003729A5">
              <w:rPr>
                <w:rFonts w:eastAsia="Times New Roman" w:cs="Arial"/>
                <w:color w:val="000000"/>
              </w:rPr>
              <w:t>18-19</w:t>
            </w:r>
          </w:p>
        </w:tc>
        <w:tc>
          <w:tcPr>
            <w:tcW w:w="1110" w:type="dxa"/>
            <w:hideMark/>
          </w:tcPr>
          <w:p w14:paraId="63EEA705" w14:textId="288C132A" w:rsidR="003729A5" w:rsidRPr="003729A5" w:rsidRDefault="00524B8D" w:rsidP="003729A5">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000000"/>
              </w:rPr>
            </w:pPr>
            <w:r>
              <w:rPr>
                <w:rFonts w:eastAsia="Times New Roman" w:cs="Arial"/>
                <w:color w:val="000000"/>
              </w:rPr>
              <w:t>20</w:t>
            </w:r>
            <w:r w:rsidR="003729A5" w:rsidRPr="003729A5">
              <w:rPr>
                <w:rFonts w:eastAsia="Times New Roman" w:cs="Arial"/>
                <w:color w:val="000000"/>
              </w:rPr>
              <w:t>19-20</w:t>
            </w:r>
          </w:p>
        </w:tc>
      </w:tr>
      <w:tr w:rsidR="002721D1" w:rsidRPr="003729A5" w14:paraId="52CBADA1" w14:textId="77777777" w:rsidTr="00C76D53">
        <w:trPr>
          <w:cnfStyle w:val="000000100000" w:firstRow="0" w:lastRow="0" w:firstColumn="0" w:lastColumn="0" w:oddVBand="0" w:evenVBand="0" w:oddHBand="1" w:evenHBand="0" w:firstRowFirstColumn="0" w:firstRowLastColumn="0" w:lastRowFirstColumn="0" w:lastRowLastColumn="0"/>
          <w:cantSplit/>
          <w:trHeight w:val="290"/>
        </w:trPr>
        <w:tc>
          <w:tcPr>
            <w:cnfStyle w:val="001000000000" w:firstRow="0" w:lastRow="0" w:firstColumn="1" w:lastColumn="0" w:oddVBand="0" w:evenVBand="0" w:oddHBand="0" w:evenHBand="0" w:firstRowFirstColumn="0" w:firstRowLastColumn="0" w:lastRowFirstColumn="0" w:lastRowLastColumn="0"/>
            <w:tcW w:w="4135" w:type="dxa"/>
            <w:noWrap/>
            <w:hideMark/>
          </w:tcPr>
          <w:p w14:paraId="36335ECA" w14:textId="0E6CA945" w:rsidR="003729A5" w:rsidRPr="00323405" w:rsidRDefault="002721D1" w:rsidP="003729A5">
            <w:pPr>
              <w:spacing w:after="0"/>
              <w:rPr>
                <w:rFonts w:eastAsia="Times New Roman" w:cs="Arial"/>
                <w:b w:val="0"/>
                <w:bCs w:val="0"/>
                <w:color w:val="000000"/>
              </w:rPr>
            </w:pPr>
            <w:r>
              <w:rPr>
                <w:rFonts w:eastAsia="Times New Roman" w:cs="Arial"/>
                <w:b w:val="0"/>
                <w:bCs w:val="0"/>
                <w:color w:val="000000"/>
              </w:rPr>
              <w:t xml:space="preserve">Number of </w:t>
            </w:r>
            <w:r w:rsidR="00524B8D">
              <w:rPr>
                <w:rFonts w:eastAsia="Times New Roman" w:cs="Arial"/>
                <w:b w:val="0"/>
                <w:bCs w:val="0"/>
                <w:color w:val="000000"/>
              </w:rPr>
              <w:t>students with disabilities</w:t>
            </w:r>
            <w:r>
              <w:rPr>
                <w:rFonts w:eastAsia="Times New Roman" w:cs="Arial"/>
                <w:b w:val="0"/>
                <w:bCs w:val="0"/>
                <w:color w:val="000000"/>
              </w:rPr>
              <w:t xml:space="preserve"> enrolled in higher education or competitively employed within one year of leaving high school</w:t>
            </w:r>
          </w:p>
        </w:tc>
        <w:tc>
          <w:tcPr>
            <w:tcW w:w="1109" w:type="dxa"/>
            <w:vAlign w:val="center"/>
            <w:hideMark/>
          </w:tcPr>
          <w:p w14:paraId="6BC82FF1" w14:textId="77777777" w:rsidR="003729A5" w:rsidRPr="003729A5" w:rsidRDefault="003729A5" w:rsidP="00C76D53">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3729A5">
              <w:rPr>
                <w:rFonts w:eastAsia="Times New Roman" w:cs="Arial"/>
                <w:color w:val="000000"/>
              </w:rPr>
              <w:t>734</w:t>
            </w:r>
          </w:p>
        </w:tc>
        <w:tc>
          <w:tcPr>
            <w:tcW w:w="1109" w:type="dxa"/>
            <w:vAlign w:val="center"/>
            <w:hideMark/>
          </w:tcPr>
          <w:p w14:paraId="79E4121B" w14:textId="77777777" w:rsidR="003729A5" w:rsidRPr="003729A5" w:rsidRDefault="003729A5" w:rsidP="00C76D53">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3729A5">
              <w:rPr>
                <w:rFonts w:eastAsia="Times New Roman" w:cs="Arial"/>
                <w:color w:val="000000"/>
              </w:rPr>
              <w:t>845</w:t>
            </w:r>
          </w:p>
        </w:tc>
        <w:tc>
          <w:tcPr>
            <w:tcW w:w="1109" w:type="dxa"/>
            <w:vAlign w:val="center"/>
            <w:hideMark/>
          </w:tcPr>
          <w:p w14:paraId="3D9782D4" w14:textId="77777777" w:rsidR="003729A5" w:rsidRPr="003729A5" w:rsidRDefault="003729A5" w:rsidP="00C76D53">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3729A5">
              <w:rPr>
                <w:rFonts w:eastAsia="Times New Roman" w:cs="Arial"/>
                <w:color w:val="000000"/>
              </w:rPr>
              <w:t>656</w:t>
            </w:r>
          </w:p>
        </w:tc>
        <w:tc>
          <w:tcPr>
            <w:tcW w:w="1109" w:type="dxa"/>
            <w:vAlign w:val="center"/>
            <w:hideMark/>
          </w:tcPr>
          <w:p w14:paraId="7882E3F1" w14:textId="77777777" w:rsidR="003729A5" w:rsidRPr="003729A5" w:rsidRDefault="003729A5" w:rsidP="00C76D53">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3729A5">
              <w:rPr>
                <w:rFonts w:eastAsia="Times New Roman" w:cs="Arial"/>
                <w:color w:val="000000"/>
              </w:rPr>
              <w:t>1009</w:t>
            </w:r>
          </w:p>
        </w:tc>
        <w:tc>
          <w:tcPr>
            <w:tcW w:w="1109" w:type="dxa"/>
            <w:vAlign w:val="center"/>
            <w:hideMark/>
          </w:tcPr>
          <w:p w14:paraId="506F8817" w14:textId="77777777" w:rsidR="003729A5" w:rsidRPr="003729A5" w:rsidRDefault="003729A5" w:rsidP="00C76D53">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3729A5">
              <w:rPr>
                <w:rFonts w:eastAsia="Times New Roman" w:cs="Arial"/>
                <w:color w:val="000000"/>
              </w:rPr>
              <w:t>922</w:t>
            </w:r>
          </w:p>
        </w:tc>
        <w:tc>
          <w:tcPr>
            <w:tcW w:w="1110" w:type="dxa"/>
            <w:vAlign w:val="center"/>
            <w:hideMark/>
          </w:tcPr>
          <w:p w14:paraId="61C4B7CA" w14:textId="77777777" w:rsidR="003729A5" w:rsidRPr="003729A5" w:rsidRDefault="003729A5" w:rsidP="00C76D53">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3729A5">
              <w:rPr>
                <w:rFonts w:eastAsia="Times New Roman" w:cs="Arial"/>
                <w:color w:val="000000"/>
              </w:rPr>
              <w:t>828</w:t>
            </w:r>
          </w:p>
        </w:tc>
      </w:tr>
      <w:tr w:rsidR="002721D1" w:rsidRPr="003729A5" w14:paraId="750457E8" w14:textId="77777777" w:rsidTr="00C76D53">
        <w:trPr>
          <w:cantSplit/>
          <w:trHeight w:val="290"/>
        </w:trPr>
        <w:tc>
          <w:tcPr>
            <w:cnfStyle w:val="001000000000" w:firstRow="0" w:lastRow="0" w:firstColumn="1" w:lastColumn="0" w:oddVBand="0" w:evenVBand="0" w:oddHBand="0" w:evenHBand="0" w:firstRowFirstColumn="0" w:firstRowLastColumn="0" w:lastRowFirstColumn="0" w:lastRowLastColumn="0"/>
            <w:tcW w:w="4135" w:type="dxa"/>
            <w:noWrap/>
            <w:hideMark/>
          </w:tcPr>
          <w:p w14:paraId="6AD0CCE2" w14:textId="45BB330C" w:rsidR="002721D1" w:rsidRPr="00323405" w:rsidRDefault="002721D1" w:rsidP="002721D1">
            <w:pPr>
              <w:spacing w:after="0"/>
              <w:rPr>
                <w:rFonts w:eastAsia="Times New Roman" w:cs="Arial"/>
                <w:b w:val="0"/>
                <w:bCs w:val="0"/>
                <w:color w:val="000000"/>
              </w:rPr>
            </w:pPr>
            <w:r>
              <w:rPr>
                <w:rFonts w:eastAsia="Times New Roman" w:cs="Arial"/>
                <w:b w:val="0"/>
                <w:bCs w:val="0"/>
                <w:color w:val="000000"/>
              </w:rPr>
              <w:t xml:space="preserve">Number of respondent </w:t>
            </w:r>
            <w:r w:rsidR="00524B8D">
              <w:rPr>
                <w:rFonts w:eastAsia="Times New Roman" w:cs="Arial"/>
                <w:b w:val="0"/>
                <w:bCs w:val="0"/>
                <w:color w:val="000000"/>
              </w:rPr>
              <w:t>students with disabilities</w:t>
            </w:r>
            <w:r>
              <w:rPr>
                <w:rFonts w:eastAsia="Times New Roman" w:cs="Arial"/>
                <w:b w:val="0"/>
                <w:bCs w:val="0"/>
                <w:color w:val="000000"/>
              </w:rPr>
              <w:t xml:space="preserve"> no longer in secondary school</w:t>
            </w:r>
          </w:p>
        </w:tc>
        <w:tc>
          <w:tcPr>
            <w:tcW w:w="1109" w:type="dxa"/>
            <w:vAlign w:val="center"/>
            <w:hideMark/>
          </w:tcPr>
          <w:p w14:paraId="6750DA4F" w14:textId="77777777" w:rsidR="002721D1" w:rsidRPr="003729A5" w:rsidRDefault="002721D1" w:rsidP="00C76D5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3729A5">
              <w:rPr>
                <w:rFonts w:eastAsia="Times New Roman" w:cs="Arial"/>
                <w:color w:val="000000"/>
              </w:rPr>
              <w:t>1,103</w:t>
            </w:r>
          </w:p>
        </w:tc>
        <w:tc>
          <w:tcPr>
            <w:tcW w:w="1109" w:type="dxa"/>
            <w:vAlign w:val="center"/>
            <w:hideMark/>
          </w:tcPr>
          <w:p w14:paraId="23D3EB3B" w14:textId="77777777" w:rsidR="002721D1" w:rsidRPr="003729A5" w:rsidRDefault="002721D1" w:rsidP="00C76D5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3729A5">
              <w:rPr>
                <w:rFonts w:eastAsia="Times New Roman" w:cs="Arial"/>
                <w:color w:val="000000"/>
              </w:rPr>
              <w:t>1,103</w:t>
            </w:r>
          </w:p>
        </w:tc>
        <w:tc>
          <w:tcPr>
            <w:tcW w:w="1109" w:type="dxa"/>
            <w:vAlign w:val="center"/>
            <w:hideMark/>
          </w:tcPr>
          <w:p w14:paraId="13F40ACE" w14:textId="77777777" w:rsidR="002721D1" w:rsidRPr="003729A5" w:rsidRDefault="002721D1" w:rsidP="00C76D5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3729A5">
              <w:rPr>
                <w:rFonts w:eastAsia="Times New Roman" w:cs="Arial"/>
                <w:color w:val="000000"/>
              </w:rPr>
              <w:t>972</w:t>
            </w:r>
          </w:p>
        </w:tc>
        <w:tc>
          <w:tcPr>
            <w:tcW w:w="1109" w:type="dxa"/>
            <w:vAlign w:val="center"/>
            <w:hideMark/>
          </w:tcPr>
          <w:p w14:paraId="144F488C" w14:textId="77777777" w:rsidR="002721D1" w:rsidRPr="003729A5" w:rsidRDefault="002721D1" w:rsidP="00C76D5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3729A5">
              <w:rPr>
                <w:rFonts w:eastAsia="Times New Roman" w:cs="Arial"/>
                <w:color w:val="000000"/>
              </w:rPr>
              <w:t>1,424</w:t>
            </w:r>
          </w:p>
        </w:tc>
        <w:tc>
          <w:tcPr>
            <w:tcW w:w="1109" w:type="dxa"/>
            <w:vAlign w:val="center"/>
            <w:hideMark/>
          </w:tcPr>
          <w:p w14:paraId="409ECFD1" w14:textId="77777777" w:rsidR="002721D1" w:rsidRPr="003729A5" w:rsidRDefault="002721D1" w:rsidP="00C76D5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3729A5">
              <w:rPr>
                <w:rFonts w:eastAsia="Times New Roman" w:cs="Arial"/>
                <w:color w:val="000000"/>
              </w:rPr>
              <w:t>1,429</w:t>
            </w:r>
          </w:p>
        </w:tc>
        <w:tc>
          <w:tcPr>
            <w:tcW w:w="1110" w:type="dxa"/>
            <w:vAlign w:val="center"/>
            <w:hideMark/>
          </w:tcPr>
          <w:p w14:paraId="27975E2B" w14:textId="77777777" w:rsidR="002721D1" w:rsidRPr="003729A5" w:rsidRDefault="002721D1" w:rsidP="00C76D5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3729A5">
              <w:rPr>
                <w:rFonts w:eastAsia="Times New Roman" w:cs="Arial"/>
                <w:color w:val="000000"/>
              </w:rPr>
              <w:t>1,048</w:t>
            </w:r>
          </w:p>
        </w:tc>
      </w:tr>
      <w:tr w:rsidR="002721D1" w:rsidRPr="003729A5" w14:paraId="08EE56BC" w14:textId="77777777" w:rsidTr="00C76D53">
        <w:trPr>
          <w:cnfStyle w:val="000000100000" w:firstRow="0" w:lastRow="0" w:firstColumn="0" w:lastColumn="0" w:oddVBand="0" w:evenVBand="0" w:oddHBand="1" w:evenHBand="0" w:firstRowFirstColumn="0" w:firstRowLastColumn="0" w:lastRowFirstColumn="0" w:lastRowLastColumn="0"/>
          <w:cantSplit/>
          <w:trHeight w:val="290"/>
        </w:trPr>
        <w:tc>
          <w:tcPr>
            <w:cnfStyle w:val="001000000000" w:firstRow="0" w:lastRow="0" w:firstColumn="1" w:lastColumn="0" w:oddVBand="0" w:evenVBand="0" w:oddHBand="0" w:evenHBand="0" w:firstRowFirstColumn="0" w:firstRowLastColumn="0" w:lastRowFirstColumn="0" w:lastRowLastColumn="0"/>
            <w:tcW w:w="4135" w:type="dxa"/>
            <w:noWrap/>
            <w:hideMark/>
          </w:tcPr>
          <w:p w14:paraId="42AD59A4" w14:textId="491A2976" w:rsidR="002721D1" w:rsidRPr="00323405" w:rsidRDefault="002721D1" w:rsidP="002721D1">
            <w:pPr>
              <w:spacing w:after="0"/>
              <w:rPr>
                <w:rFonts w:eastAsia="Times New Roman" w:cs="Arial"/>
                <w:b w:val="0"/>
                <w:bCs w:val="0"/>
                <w:color w:val="000000"/>
              </w:rPr>
            </w:pPr>
            <w:r w:rsidRPr="00857C2E">
              <w:rPr>
                <w:rFonts w:eastAsia="Times New Roman" w:cs="Arial"/>
                <w:b w:val="0"/>
                <w:bCs w:val="0"/>
                <w:color w:val="000000"/>
              </w:rPr>
              <w:t>Percentage</w:t>
            </w:r>
          </w:p>
        </w:tc>
        <w:tc>
          <w:tcPr>
            <w:tcW w:w="1109" w:type="dxa"/>
            <w:vAlign w:val="center"/>
            <w:hideMark/>
          </w:tcPr>
          <w:p w14:paraId="0F54B3E2" w14:textId="77777777" w:rsidR="002721D1" w:rsidRPr="003729A5" w:rsidRDefault="002721D1" w:rsidP="00C76D53">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3729A5">
              <w:rPr>
                <w:rFonts w:eastAsia="Times New Roman" w:cs="Arial"/>
                <w:color w:val="000000"/>
              </w:rPr>
              <w:t>66.55%</w:t>
            </w:r>
          </w:p>
        </w:tc>
        <w:tc>
          <w:tcPr>
            <w:tcW w:w="1109" w:type="dxa"/>
            <w:vAlign w:val="center"/>
            <w:hideMark/>
          </w:tcPr>
          <w:p w14:paraId="3F85ADA2" w14:textId="77777777" w:rsidR="002721D1" w:rsidRPr="003729A5" w:rsidRDefault="002721D1" w:rsidP="00C76D53">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3729A5">
              <w:rPr>
                <w:rFonts w:eastAsia="Times New Roman" w:cs="Arial"/>
                <w:color w:val="000000"/>
              </w:rPr>
              <w:t>76.61%</w:t>
            </w:r>
          </w:p>
        </w:tc>
        <w:tc>
          <w:tcPr>
            <w:tcW w:w="1109" w:type="dxa"/>
            <w:vAlign w:val="center"/>
            <w:hideMark/>
          </w:tcPr>
          <w:p w14:paraId="0662F31A" w14:textId="77777777" w:rsidR="002721D1" w:rsidRPr="003729A5" w:rsidRDefault="002721D1" w:rsidP="00C76D53">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3729A5">
              <w:rPr>
                <w:rFonts w:eastAsia="Times New Roman" w:cs="Arial"/>
                <w:color w:val="000000"/>
              </w:rPr>
              <w:t>67.49%</w:t>
            </w:r>
          </w:p>
        </w:tc>
        <w:tc>
          <w:tcPr>
            <w:tcW w:w="1109" w:type="dxa"/>
            <w:vAlign w:val="center"/>
            <w:hideMark/>
          </w:tcPr>
          <w:p w14:paraId="1D14D85B" w14:textId="77777777" w:rsidR="002721D1" w:rsidRPr="003729A5" w:rsidRDefault="002721D1" w:rsidP="00C76D53">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3729A5">
              <w:rPr>
                <w:rFonts w:eastAsia="Times New Roman" w:cs="Arial"/>
                <w:color w:val="000000"/>
              </w:rPr>
              <w:t>70.86%</w:t>
            </w:r>
          </w:p>
        </w:tc>
        <w:tc>
          <w:tcPr>
            <w:tcW w:w="1109" w:type="dxa"/>
            <w:vAlign w:val="center"/>
            <w:hideMark/>
          </w:tcPr>
          <w:p w14:paraId="43BCDF78" w14:textId="77777777" w:rsidR="002721D1" w:rsidRPr="003729A5" w:rsidRDefault="002721D1" w:rsidP="00C76D53">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3729A5">
              <w:rPr>
                <w:rFonts w:eastAsia="Times New Roman" w:cs="Arial"/>
                <w:color w:val="000000"/>
              </w:rPr>
              <w:t>64.52%</w:t>
            </w:r>
          </w:p>
        </w:tc>
        <w:tc>
          <w:tcPr>
            <w:tcW w:w="1110" w:type="dxa"/>
            <w:vAlign w:val="center"/>
            <w:hideMark/>
          </w:tcPr>
          <w:p w14:paraId="3FD5D237" w14:textId="77777777" w:rsidR="002721D1" w:rsidRPr="003729A5" w:rsidRDefault="002721D1" w:rsidP="00C76D53">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3729A5">
              <w:rPr>
                <w:rFonts w:eastAsia="Times New Roman" w:cs="Arial"/>
                <w:color w:val="000000"/>
              </w:rPr>
              <w:t>79.01%</w:t>
            </w:r>
          </w:p>
        </w:tc>
      </w:tr>
      <w:tr w:rsidR="002721D1" w:rsidRPr="003729A5" w14:paraId="08CC9F6B" w14:textId="77777777" w:rsidTr="00C76D53">
        <w:trPr>
          <w:cantSplit/>
          <w:trHeight w:val="290"/>
        </w:trPr>
        <w:tc>
          <w:tcPr>
            <w:cnfStyle w:val="001000000000" w:firstRow="0" w:lastRow="0" w:firstColumn="1" w:lastColumn="0" w:oddVBand="0" w:evenVBand="0" w:oddHBand="0" w:evenHBand="0" w:firstRowFirstColumn="0" w:firstRowLastColumn="0" w:lastRowFirstColumn="0" w:lastRowLastColumn="0"/>
            <w:tcW w:w="4135" w:type="dxa"/>
            <w:noWrap/>
            <w:hideMark/>
          </w:tcPr>
          <w:p w14:paraId="3A821A1A" w14:textId="6B9949EB" w:rsidR="002721D1" w:rsidRPr="00323405" w:rsidRDefault="002721D1" w:rsidP="002721D1">
            <w:pPr>
              <w:spacing w:after="0"/>
              <w:rPr>
                <w:rFonts w:eastAsia="Times New Roman" w:cs="Arial"/>
                <w:b w:val="0"/>
                <w:bCs w:val="0"/>
                <w:color w:val="000000"/>
              </w:rPr>
            </w:pPr>
            <w:r w:rsidRPr="00857C2E">
              <w:rPr>
                <w:rFonts w:eastAsia="Times New Roman" w:cs="Arial"/>
                <w:b w:val="0"/>
                <w:bCs w:val="0"/>
                <w:color w:val="000000"/>
              </w:rPr>
              <w:t xml:space="preserve">Change in </w:t>
            </w:r>
            <w:r w:rsidR="00E307FD">
              <w:rPr>
                <w:rFonts w:eastAsia="Times New Roman" w:cs="Arial"/>
                <w:b w:val="0"/>
                <w:bCs w:val="0"/>
                <w:color w:val="000000"/>
              </w:rPr>
              <w:t>p</w:t>
            </w:r>
            <w:r w:rsidRPr="00857C2E">
              <w:rPr>
                <w:rFonts w:eastAsia="Times New Roman" w:cs="Arial"/>
                <w:b w:val="0"/>
                <w:bCs w:val="0"/>
                <w:color w:val="000000"/>
              </w:rPr>
              <w:t>ercentage</w:t>
            </w:r>
          </w:p>
        </w:tc>
        <w:tc>
          <w:tcPr>
            <w:tcW w:w="1109" w:type="dxa"/>
            <w:vAlign w:val="center"/>
            <w:hideMark/>
          </w:tcPr>
          <w:p w14:paraId="2C302CF1" w14:textId="1A696908" w:rsidR="002721D1" w:rsidRPr="003729A5" w:rsidRDefault="00251646" w:rsidP="00C76D5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Pr>
                <w:rFonts w:eastAsia="Times New Roman" w:cs="Arial"/>
                <w:color w:val="000000"/>
              </w:rPr>
              <w:t>n/a</w:t>
            </w:r>
          </w:p>
        </w:tc>
        <w:tc>
          <w:tcPr>
            <w:tcW w:w="1109" w:type="dxa"/>
            <w:vAlign w:val="center"/>
            <w:hideMark/>
          </w:tcPr>
          <w:p w14:paraId="4F38D6B1" w14:textId="445E6428" w:rsidR="002721D1" w:rsidRPr="003729A5" w:rsidRDefault="002721D1" w:rsidP="00C76D5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Pr>
                <w:rFonts w:eastAsia="Times New Roman" w:cs="Arial"/>
                <w:color w:val="000000"/>
              </w:rPr>
              <w:t>+</w:t>
            </w:r>
            <w:r w:rsidRPr="003729A5">
              <w:rPr>
                <w:rFonts w:eastAsia="Times New Roman" w:cs="Arial"/>
                <w:color w:val="000000"/>
              </w:rPr>
              <w:t>10.06%</w:t>
            </w:r>
          </w:p>
        </w:tc>
        <w:tc>
          <w:tcPr>
            <w:tcW w:w="1109" w:type="dxa"/>
            <w:vAlign w:val="center"/>
            <w:hideMark/>
          </w:tcPr>
          <w:p w14:paraId="52912688" w14:textId="77777777" w:rsidR="002721D1" w:rsidRPr="003729A5" w:rsidRDefault="002721D1" w:rsidP="00C76D5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3729A5">
              <w:rPr>
                <w:rFonts w:eastAsia="Times New Roman" w:cs="Arial"/>
                <w:color w:val="000000"/>
              </w:rPr>
              <w:t>-9.12%</w:t>
            </w:r>
          </w:p>
        </w:tc>
        <w:tc>
          <w:tcPr>
            <w:tcW w:w="1109" w:type="dxa"/>
            <w:vAlign w:val="center"/>
            <w:hideMark/>
          </w:tcPr>
          <w:p w14:paraId="25800E44" w14:textId="7435344F" w:rsidR="002721D1" w:rsidRPr="003729A5" w:rsidRDefault="002721D1" w:rsidP="00C76D5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Pr>
                <w:rFonts w:eastAsia="Times New Roman" w:cs="Arial"/>
                <w:color w:val="000000"/>
              </w:rPr>
              <w:t>+</w:t>
            </w:r>
            <w:r w:rsidRPr="003729A5">
              <w:rPr>
                <w:rFonts w:eastAsia="Times New Roman" w:cs="Arial"/>
                <w:color w:val="000000"/>
              </w:rPr>
              <w:t>3.37%</w:t>
            </w:r>
          </w:p>
        </w:tc>
        <w:tc>
          <w:tcPr>
            <w:tcW w:w="1109" w:type="dxa"/>
            <w:vAlign w:val="center"/>
            <w:hideMark/>
          </w:tcPr>
          <w:p w14:paraId="3CB01EE5" w14:textId="77777777" w:rsidR="002721D1" w:rsidRPr="003729A5" w:rsidRDefault="002721D1" w:rsidP="00C76D5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3729A5">
              <w:rPr>
                <w:rFonts w:eastAsia="Times New Roman" w:cs="Arial"/>
                <w:color w:val="000000"/>
              </w:rPr>
              <w:t>-6.34%</w:t>
            </w:r>
          </w:p>
        </w:tc>
        <w:tc>
          <w:tcPr>
            <w:tcW w:w="1110" w:type="dxa"/>
            <w:vAlign w:val="center"/>
            <w:hideMark/>
          </w:tcPr>
          <w:p w14:paraId="4B9E0903" w14:textId="3824BC7A" w:rsidR="002721D1" w:rsidRPr="003729A5" w:rsidRDefault="002721D1" w:rsidP="00C76D5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Pr>
                <w:rFonts w:eastAsia="Times New Roman" w:cs="Arial"/>
                <w:color w:val="000000"/>
              </w:rPr>
              <w:t>+</w:t>
            </w:r>
            <w:r w:rsidRPr="003729A5">
              <w:rPr>
                <w:rFonts w:eastAsia="Times New Roman" w:cs="Arial"/>
                <w:color w:val="000000"/>
              </w:rPr>
              <w:t>14.49%</w:t>
            </w:r>
          </w:p>
        </w:tc>
      </w:tr>
    </w:tbl>
    <w:p w14:paraId="7F101415" w14:textId="77777777" w:rsidR="00193029" w:rsidRDefault="00193029" w:rsidP="00571D36">
      <w:pPr>
        <w:pStyle w:val="Heading2"/>
      </w:pPr>
    </w:p>
    <w:p w14:paraId="62175721" w14:textId="77777777" w:rsidR="00193029" w:rsidRDefault="00193029">
      <w:pPr>
        <w:spacing w:after="0"/>
        <w:rPr>
          <w:rFonts w:cstheme="minorHAnsi"/>
          <w:b/>
          <w:caps/>
          <w:color w:val="1F497D" w:themeColor="text2"/>
          <w:sz w:val="24"/>
          <w:szCs w:val="24"/>
        </w:rPr>
      </w:pPr>
      <w:r>
        <w:br w:type="page"/>
      </w:r>
    </w:p>
    <w:p w14:paraId="462B8430" w14:textId="26DF5D9F" w:rsidR="00571D36" w:rsidRDefault="00571D36" w:rsidP="00571D36">
      <w:pPr>
        <w:pStyle w:val="Heading2"/>
      </w:pPr>
      <w:r>
        <w:lastRenderedPageBreak/>
        <w:t>How has Ohio performed in relation to the targets</w:t>
      </w:r>
      <w:r w:rsidR="008B1595">
        <w:t xml:space="preserve"> on indicator 14b</w:t>
      </w:r>
      <w:r>
        <w:t>?</w:t>
      </w:r>
    </w:p>
    <w:p w14:paraId="0E7AFFE1" w14:textId="304E14C5" w:rsidR="00571D36" w:rsidRDefault="00571D36" w:rsidP="00571D36">
      <w:r>
        <w:t xml:space="preserve">The graphs below depict Ohio’s performance over time in relation to the state targets. </w:t>
      </w:r>
    </w:p>
    <w:p w14:paraId="374BEC21" w14:textId="77777777" w:rsidR="00593A2B" w:rsidRDefault="00571D36" w:rsidP="00C73806">
      <w:pPr>
        <w:pStyle w:val="ListParagraph"/>
        <w:numPr>
          <w:ilvl w:val="0"/>
          <w:numId w:val="44"/>
        </w:numPr>
        <w:spacing w:after="60"/>
      </w:pPr>
      <w:r>
        <w:t xml:space="preserve">The bars in each graph indicate Ohio’s performance for each year. </w:t>
      </w:r>
      <w:r w:rsidR="00593A2B">
        <w:t>Red bars with horizontal stripes mean Ohio did not meet the target for that year. Green bars with vertical stripes mean Ohio met the target for that year.</w:t>
      </w:r>
    </w:p>
    <w:p w14:paraId="4E0AB5BF" w14:textId="1CDA7F94" w:rsidR="00571D36" w:rsidRDefault="00571D36" w:rsidP="00C73806">
      <w:pPr>
        <w:pStyle w:val="ListParagraph"/>
        <w:numPr>
          <w:ilvl w:val="0"/>
          <w:numId w:val="44"/>
        </w:numPr>
      </w:pPr>
      <w:r>
        <w:t>The dotted black line in each graph depicts the state target for each year</w:t>
      </w:r>
      <w:r w:rsidR="009E4ABA">
        <w:t>.</w:t>
      </w:r>
    </w:p>
    <w:p w14:paraId="0BEB319D" w14:textId="77777777" w:rsidR="00571D36" w:rsidRDefault="00571D36" w:rsidP="00C73806">
      <w:pPr>
        <w:pStyle w:val="ListParagraph"/>
        <w:numPr>
          <w:ilvl w:val="0"/>
          <w:numId w:val="44"/>
        </w:numPr>
      </w:pPr>
      <w:r>
        <w:t>The table below each graph calculates the difference between the state target and Ohio’s performance. Negative numbers mean Ohio performed below the state target.</w:t>
      </w:r>
    </w:p>
    <w:p w14:paraId="6D007427" w14:textId="1CAB6AA5" w:rsidR="00571D36" w:rsidRPr="00AF1DB9" w:rsidRDefault="00571D36" w:rsidP="00571D36">
      <w:r>
        <w:t>For indicator 14b, the goal is to be at or above the target.</w:t>
      </w:r>
    </w:p>
    <w:p w14:paraId="1F072678" w14:textId="7B69BED5" w:rsidR="00323405" w:rsidRDefault="00146F49" w:rsidP="00323405">
      <w:pPr>
        <w:keepNext/>
        <w:jc w:val="center"/>
      </w:pPr>
      <w:r>
        <w:rPr>
          <w:noProof/>
        </w:rPr>
        <w:drawing>
          <wp:inline distT="0" distB="0" distL="0" distR="0" wp14:anchorId="22CAE9F1" wp14:editId="0A9ED4C0">
            <wp:extent cx="6400800" cy="2743200"/>
            <wp:effectExtent l="0" t="0" r="0" b="0"/>
            <wp:docPr id="4" name="Chart 4" descr="Combination graph showing Ohio's performance on indicator 14b compared to the target.">
              <a:extLst xmlns:a="http://schemas.openxmlformats.org/drawingml/2006/main">
                <a:ext uri="{FF2B5EF4-FFF2-40B4-BE49-F238E27FC236}">
                  <a16:creationId xmlns:a16="http://schemas.microsoft.com/office/drawing/2014/main" id="{90E643BB-74B9-4624-A07C-40F7DE64594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BFA204A" w14:textId="2864499A" w:rsidR="00150A2D" w:rsidRDefault="00323405" w:rsidP="00323405">
      <w:pPr>
        <w:pStyle w:val="Caption"/>
      </w:pPr>
      <w:r>
        <w:t xml:space="preserve">Figure </w:t>
      </w:r>
      <w:r>
        <w:fldChar w:fldCharType="begin"/>
      </w:r>
      <w:r>
        <w:instrText>SEQ Figure \* ARABIC</w:instrText>
      </w:r>
      <w:r>
        <w:fldChar w:fldCharType="separate"/>
      </w:r>
      <w:r w:rsidR="005152AA">
        <w:rPr>
          <w:noProof/>
        </w:rPr>
        <w:t>4</w:t>
      </w:r>
      <w:r>
        <w:fldChar w:fldCharType="end"/>
      </w:r>
      <w:r>
        <w:t xml:space="preserve">. </w:t>
      </w:r>
      <w:r w:rsidRPr="00343411">
        <w:t>Ohio’s percentage of students with disabilities enrolled in higher education</w:t>
      </w:r>
      <w:r w:rsidR="00A448B6">
        <w:t xml:space="preserve"> or competitively employed</w:t>
      </w:r>
      <w:r w:rsidRPr="00343411">
        <w:t xml:space="preserve"> within one year of leaving high school increased from </w:t>
      </w:r>
      <w:r w:rsidR="00A448B6">
        <w:t>66.55</w:t>
      </w:r>
      <w:r w:rsidRPr="00343411">
        <w:t xml:space="preserve">% in 2014-15 to </w:t>
      </w:r>
      <w:r w:rsidR="00A448B6">
        <w:t>79.01</w:t>
      </w:r>
      <w:r w:rsidRPr="00343411">
        <w:t xml:space="preserve">% in 2019-20, </w:t>
      </w:r>
      <w:r w:rsidR="00A448B6">
        <w:t>only meeting the target in 2015-16 and 2019-20</w:t>
      </w:r>
      <w:r>
        <w:t>.</w:t>
      </w:r>
    </w:p>
    <w:p w14:paraId="752C4ED3" w14:textId="782551DE" w:rsidR="00593A2B" w:rsidRPr="003D7806" w:rsidRDefault="00A448B6" w:rsidP="00593A2B">
      <w:pPr>
        <w:pStyle w:val="Caption"/>
        <w:keepNext/>
        <w:rPr>
          <w:b/>
          <w:bCs/>
        </w:rPr>
      </w:pPr>
      <w:r>
        <w:t xml:space="preserve">Table </w:t>
      </w:r>
      <w:r>
        <w:fldChar w:fldCharType="begin"/>
      </w:r>
      <w:r>
        <w:instrText>SEQ Table \* ARABIC</w:instrText>
      </w:r>
      <w:r>
        <w:fldChar w:fldCharType="separate"/>
      </w:r>
      <w:r w:rsidR="003856B9">
        <w:rPr>
          <w:noProof/>
        </w:rPr>
        <w:t>6</w:t>
      </w:r>
      <w:r>
        <w:fldChar w:fldCharType="end"/>
      </w:r>
      <w:r>
        <w:t xml:space="preserve">. </w:t>
      </w:r>
      <w:r w:rsidRPr="003D7806">
        <w:t xml:space="preserve">Percentage difference between the state target and Ohio's performance for the percentage of students with disabilities enrolled in higher education </w:t>
      </w:r>
      <w:r>
        <w:t xml:space="preserve">or competitively </w:t>
      </w:r>
      <w:r w:rsidRPr="003D7806">
        <w:t>within one year of leaving high school.</w:t>
      </w:r>
      <w:r w:rsidR="00593A2B" w:rsidRPr="00593A2B">
        <w:t xml:space="preserve"> </w:t>
      </w:r>
      <w:r w:rsidR="00593A2B">
        <w:t>The goal for indicator 14b is to be at or above the target. Positive difference numbers indicate the state was above the target for that year and met the target. Negative difference numbers indicate the state was below the target for that year and did not meet the target.</w:t>
      </w:r>
    </w:p>
    <w:tbl>
      <w:tblPr>
        <w:tblStyle w:val="PlainTable1"/>
        <w:tblW w:w="5000" w:type="pct"/>
        <w:tblLook w:val="04A0" w:firstRow="1" w:lastRow="0" w:firstColumn="1" w:lastColumn="0" w:noHBand="0" w:noVBand="1"/>
        <w:tblCaption w:val="Ind 14b Performance vs Target"/>
        <w:tblDescription w:val="Percentage difference between the state target and Ohio's performance for the percentage of students with disabilities enrolled in higher education or competitively within one year of leaving high school. The goal for indicator 14b is to be at or above the target. Positive difference numbers indicate the state was above the target for that year and met the target. Negative difference numbers indicate the state was below the target for that year and did not meet the target."/>
      </w:tblPr>
      <w:tblGrid>
        <w:gridCol w:w="1540"/>
        <w:gridCol w:w="1541"/>
        <w:gridCol w:w="1541"/>
        <w:gridCol w:w="1541"/>
        <w:gridCol w:w="1541"/>
        <w:gridCol w:w="1541"/>
        <w:gridCol w:w="1545"/>
      </w:tblGrid>
      <w:tr w:rsidR="00A448B6" w:rsidRPr="00EC109D" w14:paraId="635A0B2B" w14:textId="77777777" w:rsidTr="00D03C9D">
        <w:trPr>
          <w:cnfStyle w:val="100000000000" w:firstRow="1" w:lastRow="0" w:firstColumn="0" w:lastColumn="0" w:oddVBand="0" w:evenVBand="0" w:oddHBand="0" w:evenHBand="0" w:firstRowFirstColumn="0" w:firstRowLastColumn="0" w:lastRowFirstColumn="0" w:lastRowLastColumn="0"/>
          <w:cantSplit/>
          <w:trHeight w:val="288"/>
          <w:tblHeader/>
        </w:trPr>
        <w:tc>
          <w:tcPr>
            <w:cnfStyle w:val="001000000000" w:firstRow="0" w:lastRow="0" w:firstColumn="1" w:lastColumn="0" w:oddVBand="0" w:evenVBand="0" w:oddHBand="0" w:evenHBand="0" w:firstRowFirstColumn="0" w:firstRowLastColumn="0" w:lastRowFirstColumn="0" w:lastRowLastColumn="0"/>
            <w:tcW w:w="714" w:type="pct"/>
          </w:tcPr>
          <w:p w14:paraId="79EF6B3B" w14:textId="77777777" w:rsidR="00A448B6" w:rsidRPr="00EC109D" w:rsidRDefault="00A448B6" w:rsidP="00D03C9D">
            <w:pPr>
              <w:spacing w:after="0"/>
              <w:contextualSpacing/>
              <w:jc w:val="center"/>
            </w:pPr>
            <w:bookmarkStart w:id="7" w:name="Title_14b_Diff_Target"/>
            <w:bookmarkEnd w:id="7"/>
            <w:r>
              <w:t>Data Year</w:t>
            </w:r>
          </w:p>
        </w:tc>
        <w:tc>
          <w:tcPr>
            <w:tcW w:w="714" w:type="pct"/>
          </w:tcPr>
          <w:p w14:paraId="70F1A3E7" w14:textId="6E8AFB56" w:rsidR="00A448B6" w:rsidRPr="00EC109D" w:rsidRDefault="00FE1804" w:rsidP="00D03C9D">
            <w:pPr>
              <w:spacing w:after="0"/>
              <w:contextualSpacing/>
              <w:jc w:val="center"/>
              <w:cnfStyle w:val="100000000000" w:firstRow="1" w:lastRow="0" w:firstColumn="0" w:lastColumn="0" w:oddVBand="0" w:evenVBand="0" w:oddHBand="0" w:evenHBand="0" w:firstRowFirstColumn="0" w:firstRowLastColumn="0" w:lastRowFirstColumn="0" w:lastRowLastColumn="0"/>
            </w:pPr>
            <w:r>
              <w:t>20</w:t>
            </w:r>
            <w:r w:rsidR="00A448B6" w:rsidRPr="00EC109D">
              <w:t>14-15</w:t>
            </w:r>
          </w:p>
        </w:tc>
        <w:tc>
          <w:tcPr>
            <w:tcW w:w="714" w:type="pct"/>
          </w:tcPr>
          <w:p w14:paraId="0129BD4C" w14:textId="748BE944" w:rsidR="00A448B6" w:rsidRPr="00EC109D" w:rsidRDefault="00FE1804" w:rsidP="00D03C9D">
            <w:pPr>
              <w:spacing w:after="0"/>
              <w:contextualSpacing/>
              <w:jc w:val="center"/>
              <w:cnfStyle w:val="100000000000" w:firstRow="1" w:lastRow="0" w:firstColumn="0" w:lastColumn="0" w:oddVBand="0" w:evenVBand="0" w:oddHBand="0" w:evenHBand="0" w:firstRowFirstColumn="0" w:firstRowLastColumn="0" w:lastRowFirstColumn="0" w:lastRowLastColumn="0"/>
            </w:pPr>
            <w:r>
              <w:t>20</w:t>
            </w:r>
            <w:r w:rsidR="00A448B6" w:rsidRPr="00EC109D">
              <w:t>15-16</w:t>
            </w:r>
          </w:p>
        </w:tc>
        <w:tc>
          <w:tcPr>
            <w:tcW w:w="714" w:type="pct"/>
          </w:tcPr>
          <w:p w14:paraId="394FC123" w14:textId="080B1210" w:rsidR="00A448B6" w:rsidRPr="00EC109D" w:rsidRDefault="00FE1804" w:rsidP="00D03C9D">
            <w:pPr>
              <w:spacing w:after="0"/>
              <w:contextualSpacing/>
              <w:jc w:val="center"/>
              <w:cnfStyle w:val="100000000000" w:firstRow="1" w:lastRow="0" w:firstColumn="0" w:lastColumn="0" w:oddVBand="0" w:evenVBand="0" w:oddHBand="0" w:evenHBand="0" w:firstRowFirstColumn="0" w:firstRowLastColumn="0" w:lastRowFirstColumn="0" w:lastRowLastColumn="0"/>
            </w:pPr>
            <w:r>
              <w:t>20</w:t>
            </w:r>
            <w:r w:rsidR="00A448B6" w:rsidRPr="00EC109D">
              <w:t>16-17</w:t>
            </w:r>
          </w:p>
        </w:tc>
        <w:tc>
          <w:tcPr>
            <w:tcW w:w="714" w:type="pct"/>
          </w:tcPr>
          <w:p w14:paraId="43B11BDB" w14:textId="1933B4D3" w:rsidR="00A448B6" w:rsidRPr="00EC109D" w:rsidRDefault="00FE1804" w:rsidP="00D03C9D">
            <w:pPr>
              <w:spacing w:after="0"/>
              <w:contextualSpacing/>
              <w:jc w:val="center"/>
              <w:cnfStyle w:val="100000000000" w:firstRow="1" w:lastRow="0" w:firstColumn="0" w:lastColumn="0" w:oddVBand="0" w:evenVBand="0" w:oddHBand="0" w:evenHBand="0" w:firstRowFirstColumn="0" w:firstRowLastColumn="0" w:lastRowFirstColumn="0" w:lastRowLastColumn="0"/>
            </w:pPr>
            <w:r>
              <w:t>20</w:t>
            </w:r>
            <w:r w:rsidR="00A448B6" w:rsidRPr="00EC109D">
              <w:t>17-18</w:t>
            </w:r>
          </w:p>
        </w:tc>
        <w:tc>
          <w:tcPr>
            <w:tcW w:w="714" w:type="pct"/>
          </w:tcPr>
          <w:p w14:paraId="7C867214" w14:textId="503E3CE0" w:rsidR="00A448B6" w:rsidRPr="00EC109D" w:rsidRDefault="00FE1804" w:rsidP="00D03C9D">
            <w:pPr>
              <w:spacing w:after="0"/>
              <w:contextualSpacing/>
              <w:jc w:val="center"/>
              <w:cnfStyle w:val="100000000000" w:firstRow="1" w:lastRow="0" w:firstColumn="0" w:lastColumn="0" w:oddVBand="0" w:evenVBand="0" w:oddHBand="0" w:evenHBand="0" w:firstRowFirstColumn="0" w:firstRowLastColumn="0" w:lastRowFirstColumn="0" w:lastRowLastColumn="0"/>
            </w:pPr>
            <w:r>
              <w:t>20</w:t>
            </w:r>
            <w:r w:rsidR="00A448B6" w:rsidRPr="00EC109D">
              <w:t>18-19</w:t>
            </w:r>
          </w:p>
        </w:tc>
        <w:tc>
          <w:tcPr>
            <w:tcW w:w="716" w:type="pct"/>
          </w:tcPr>
          <w:p w14:paraId="4CD35B15" w14:textId="1614099F" w:rsidR="00A448B6" w:rsidRPr="00EC109D" w:rsidRDefault="00FE1804" w:rsidP="00D03C9D">
            <w:pPr>
              <w:spacing w:after="0"/>
              <w:contextualSpacing/>
              <w:jc w:val="center"/>
              <w:cnfStyle w:val="100000000000" w:firstRow="1" w:lastRow="0" w:firstColumn="0" w:lastColumn="0" w:oddVBand="0" w:evenVBand="0" w:oddHBand="0" w:evenHBand="0" w:firstRowFirstColumn="0" w:firstRowLastColumn="0" w:lastRowFirstColumn="0" w:lastRowLastColumn="0"/>
            </w:pPr>
            <w:r>
              <w:t>20</w:t>
            </w:r>
            <w:r w:rsidR="00A448B6" w:rsidRPr="00EC109D">
              <w:t>19-20</w:t>
            </w:r>
          </w:p>
        </w:tc>
      </w:tr>
      <w:tr w:rsidR="00A448B6" w:rsidRPr="00EC109D" w14:paraId="45A39ECA" w14:textId="77777777" w:rsidTr="00C76D53">
        <w:trPr>
          <w:cnfStyle w:val="000000100000" w:firstRow="0" w:lastRow="0" w:firstColumn="0" w:lastColumn="0" w:oddVBand="0" w:evenVBand="0" w:oddHBand="1" w:evenHBand="0" w:firstRowFirstColumn="0" w:firstRowLastColumn="0" w:lastRowFirstColumn="0" w:lastRowLastColumn="0"/>
          <w:cantSplit/>
          <w:trHeight w:val="288"/>
        </w:trPr>
        <w:tc>
          <w:tcPr>
            <w:cnfStyle w:val="001000000000" w:firstRow="0" w:lastRow="0" w:firstColumn="1" w:lastColumn="0" w:oddVBand="0" w:evenVBand="0" w:oddHBand="0" w:evenHBand="0" w:firstRowFirstColumn="0" w:firstRowLastColumn="0" w:lastRowFirstColumn="0" w:lastRowLastColumn="0"/>
            <w:tcW w:w="714" w:type="pct"/>
          </w:tcPr>
          <w:p w14:paraId="106B68F6" w14:textId="77777777" w:rsidR="00A448B6" w:rsidRPr="003D7806" w:rsidRDefault="00A448B6" w:rsidP="00A448B6">
            <w:pPr>
              <w:spacing w:after="0"/>
              <w:contextualSpacing/>
              <w:jc w:val="center"/>
              <w:rPr>
                <w:rFonts w:cs="Arial"/>
                <w:b w:val="0"/>
                <w:bCs w:val="0"/>
                <w:color w:val="000000"/>
              </w:rPr>
            </w:pPr>
            <w:r w:rsidRPr="003D7806">
              <w:rPr>
                <w:b w:val="0"/>
                <w:bCs w:val="0"/>
              </w:rPr>
              <w:t>Difference between state target and Ohio’s performance</w:t>
            </w:r>
          </w:p>
        </w:tc>
        <w:tc>
          <w:tcPr>
            <w:tcW w:w="714" w:type="pct"/>
            <w:shd w:val="clear" w:color="auto" w:fill="F2DBDB" w:themeFill="accent2" w:themeFillTint="33"/>
            <w:vAlign w:val="center"/>
          </w:tcPr>
          <w:p w14:paraId="03A64DE8" w14:textId="09B1234C" w:rsidR="00A448B6" w:rsidRPr="00EC109D" w:rsidRDefault="00A448B6" w:rsidP="00C76D53">
            <w:pPr>
              <w:spacing w:after="0"/>
              <w:contextualSpacing/>
              <w:jc w:val="center"/>
              <w:cnfStyle w:val="000000100000" w:firstRow="0" w:lastRow="0" w:firstColumn="0" w:lastColumn="0" w:oddVBand="0" w:evenVBand="0" w:oddHBand="1" w:evenHBand="0" w:firstRowFirstColumn="0" w:firstRowLastColumn="0" w:lastRowFirstColumn="0" w:lastRowLastColumn="0"/>
              <w:rPr>
                <w:rFonts w:cs="Arial"/>
                <w:color w:val="000000"/>
              </w:rPr>
            </w:pPr>
            <w:r w:rsidRPr="00EC109D">
              <w:rPr>
                <w:rFonts w:cs="Arial"/>
                <w:color w:val="000000"/>
              </w:rPr>
              <w:t>-4.45%</w:t>
            </w:r>
          </w:p>
        </w:tc>
        <w:tc>
          <w:tcPr>
            <w:tcW w:w="714" w:type="pct"/>
            <w:shd w:val="clear" w:color="auto" w:fill="EAF1DD" w:themeFill="accent3" w:themeFillTint="33"/>
            <w:vAlign w:val="center"/>
          </w:tcPr>
          <w:p w14:paraId="1E077B06" w14:textId="091711C9" w:rsidR="00A448B6" w:rsidRPr="00EC109D" w:rsidRDefault="00A448B6" w:rsidP="00C76D53">
            <w:pPr>
              <w:spacing w:after="0"/>
              <w:contextualSpacing/>
              <w:jc w:val="center"/>
              <w:cnfStyle w:val="000000100000" w:firstRow="0" w:lastRow="0" w:firstColumn="0" w:lastColumn="0" w:oddVBand="0" w:evenVBand="0" w:oddHBand="1" w:evenHBand="0" w:firstRowFirstColumn="0" w:firstRowLastColumn="0" w:lastRowFirstColumn="0" w:lastRowLastColumn="0"/>
              <w:rPr>
                <w:rFonts w:cs="Arial"/>
                <w:color w:val="000000"/>
              </w:rPr>
            </w:pPr>
            <w:r w:rsidRPr="00EC109D">
              <w:rPr>
                <w:rFonts w:cs="Arial"/>
                <w:color w:val="000000"/>
              </w:rPr>
              <w:t>4.61%</w:t>
            </w:r>
          </w:p>
        </w:tc>
        <w:tc>
          <w:tcPr>
            <w:tcW w:w="714" w:type="pct"/>
            <w:shd w:val="clear" w:color="auto" w:fill="F2DBDB" w:themeFill="accent2" w:themeFillTint="33"/>
            <w:vAlign w:val="center"/>
          </w:tcPr>
          <w:p w14:paraId="2007626F" w14:textId="2D9D8728" w:rsidR="00A448B6" w:rsidRPr="00EC109D" w:rsidRDefault="00A448B6" w:rsidP="00C76D53">
            <w:pPr>
              <w:spacing w:after="0"/>
              <w:contextualSpacing/>
              <w:jc w:val="center"/>
              <w:cnfStyle w:val="000000100000" w:firstRow="0" w:lastRow="0" w:firstColumn="0" w:lastColumn="0" w:oddVBand="0" w:evenVBand="0" w:oddHBand="1" w:evenHBand="0" w:firstRowFirstColumn="0" w:firstRowLastColumn="0" w:lastRowFirstColumn="0" w:lastRowLastColumn="0"/>
              <w:rPr>
                <w:rFonts w:cs="Arial"/>
                <w:color w:val="000000"/>
              </w:rPr>
            </w:pPr>
            <w:r w:rsidRPr="00EC109D">
              <w:rPr>
                <w:rFonts w:cs="Arial"/>
                <w:color w:val="000000"/>
              </w:rPr>
              <w:t>-5.51%</w:t>
            </w:r>
          </w:p>
        </w:tc>
        <w:tc>
          <w:tcPr>
            <w:tcW w:w="714" w:type="pct"/>
            <w:shd w:val="clear" w:color="auto" w:fill="F2DBDB" w:themeFill="accent2" w:themeFillTint="33"/>
            <w:vAlign w:val="center"/>
          </w:tcPr>
          <w:p w14:paraId="5657FA37" w14:textId="10F660DD" w:rsidR="00A448B6" w:rsidRPr="00EC109D" w:rsidRDefault="00A448B6" w:rsidP="00C76D53">
            <w:pPr>
              <w:spacing w:after="0"/>
              <w:contextualSpacing/>
              <w:jc w:val="center"/>
              <w:cnfStyle w:val="000000100000" w:firstRow="0" w:lastRow="0" w:firstColumn="0" w:lastColumn="0" w:oddVBand="0" w:evenVBand="0" w:oddHBand="1" w:evenHBand="0" w:firstRowFirstColumn="0" w:firstRowLastColumn="0" w:lastRowFirstColumn="0" w:lastRowLastColumn="0"/>
              <w:rPr>
                <w:rFonts w:cs="Arial"/>
                <w:color w:val="000000"/>
              </w:rPr>
            </w:pPr>
            <w:r w:rsidRPr="00EC109D">
              <w:rPr>
                <w:rFonts w:cs="Arial"/>
                <w:color w:val="000000"/>
              </w:rPr>
              <w:t>-3.14%</w:t>
            </w:r>
          </w:p>
        </w:tc>
        <w:tc>
          <w:tcPr>
            <w:tcW w:w="714" w:type="pct"/>
            <w:shd w:val="clear" w:color="auto" w:fill="F2DBDB" w:themeFill="accent2" w:themeFillTint="33"/>
            <w:vAlign w:val="center"/>
          </w:tcPr>
          <w:p w14:paraId="0826EB2C" w14:textId="1E03D911" w:rsidR="00A448B6" w:rsidRPr="00EC109D" w:rsidRDefault="00A448B6" w:rsidP="00C76D53">
            <w:pPr>
              <w:spacing w:after="0"/>
              <w:contextualSpacing/>
              <w:jc w:val="center"/>
              <w:cnfStyle w:val="000000100000" w:firstRow="0" w:lastRow="0" w:firstColumn="0" w:lastColumn="0" w:oddVBand="0" w:evenVBand="0" w:oddHBand="1" w:evenHBand="0" w:firstRowFirstColumn="0" w:firstRowLastColumn="0" w:lastRowFirstColumn="0" w:lastRowLastColumn="0"/>
              <w:rPr>
                <w:rFonts w:cs="Arial"/>
                <w:color w:val="000000"/>
              </w:rPr>
            </w:pPr>
            <w:r w:rsidRPr="00EC109D">
              <w:rPr>
                <w:rFonts w:cs="Arial"/>
                <w:color w:val="000000"/>
              </w:rPr>
              <w:t>-10.48%</w:t>
            </w:r>
          </w:p>
        </w:tc>
        <w:tc>
          <w:tcPr>
            <w:tcW w:w="716" w:type="pct"/>
            <w:shd w:val="clear" w:color="auto" w:fill="EAF1DD" w:themeFill="accent3" w:themeFillTint="33"/>
            <w:vAlign w:val="center"/>
          </w:tcPr>
          <w:p w14:paraId="5818ACA2" w14:textId="03DC49FB" w:rsidR="00A448B6" w:rsidRPr="00EC109D" w:rsidRDefault="00A448B6" w:rsidP="00C76D53">
            <w:pPr>
              <w:spacing w:after="0"/>
              <w:contextualSpacing/>
              <w:jc w:val="center"/>
              <w:cnfStyle w:val="000000100000" w:firstRow="0" w:lastRow="0" w:firstColumn="0" w:lastColumn="0" w:oddVBand="0" w:evenVBand="0" w:oddHBand="1" w:evenHBand="0" w:firstRowFirstColumn="0" w:firstRowLastColumn="0" w:lastRowFirstColumn="0" w:lastRowLastColumn="0"/>
              <w:rPr>
                <w:rFonts w:cs="Arial"/>
                <w:color w:val="000000"/>
              </w:rPr>
            </w:pPr>
            <w:r w:rsidRPr="00EC109D">
              <w:rPr>
                <w:rFonts w:cs="Arial"/>
                <w:color w:val="000000"/>
              </w:rPr>
              <w:t>4.01%</w:t>
            </w:r>
          </w:p>
        </w:tc>
      </w:tr>
    </w:tbl>
    <w:p w14:paraId="4261F19A" w14:textId="77777777" w:rsidR="00A448B6" w:rsidRDefault="00A448B6" w:rsidP="00E52607"/>
    <w:p w14:paraId="0A86B3B1" w14:textId="77777777" w:rsidR="00A448B6" w:rsidRDefault="00A448B6">
      <w:pPr>
        <w:spacing w:after="0"/>
        <w:rPr>
          <w:rFonts w:cstheme="minorHAnsi"/>
          <w:b/>
          <w:caps/>
          <w:color w:val="1F497D" w:themeColor="text2"/>
          <w:sz w:val="24"/>
          <w:szCs w:val="24"/>
        </w:rPr>
      </w:pPr>
      <w:r>
        <w:br w:type="page"/>
      </w:r>
    </w:p>
    <w:p w14:paraId="1266E953" w14:textId="427E837A" w:rsidR="00571D36" w:rsidRDefault="00571D36" w:rsidP="00571D36">
      <w:pPr>
        <w:pStyle w:val="Heading2"/>
      </w:pPr>
      <w:r w:rsidRPr="00CF4E24">
        <w:lastRenderedPageBreak/>
        <w:t>Proposed Targets</w:t>
      </w:r>
      <w:r w:rsidR="008B1595">
        <w:t xml:space="preserve"> –</w:t>
      </w:r>
      <w:r w:rsidR="00667051">
        <w:t xml:space="preserve"> </w:t>
      </w:r>
      <w:r w:rsidR="00700486">
        <w:t xml:space="preserve">Indicator </w:t>
      </w:r>
      <w:r w:rsidR="00700486" w:rsidRPr="003A46D0">
        <w:t>14b</w:t>
      </w:r>
    </w:p>
    <w:p w14:paraId="1111D3DF" w14:textId="77777777" w:rsidR="00571D36" w:rsidRDefault="00571D36" w:rsidP="00571D36">
      <w:pPr>
        <w:pStyle w:val="ListParagraph"/>
        <w:numPr>
          <w:ilvl w:val="0"/>
          <w:numId w:val="16"/>
        </w:numPr>
        <w:spacing w:before="40" w:after="40"/>
        <w:contextualSpacing w:val="0"/>
        <w:rPr>
          <w:rFonts w:eastAsia="Times New Roman" w:cstheme="minorHAnsi"/>
          <w:color w:val="000000"/>
        </w:rPr>
      </w:pPr>
      <w:r>
        <w:rPr>
          <w:rFonts w:eastAsia="Times New Roman" w:cstheme="minorHAnsi"/>
          <w:color w:val="000000"/>
        </w:rPr>
        <w:t xml:space="preserve">Targets should be rigorous, yet attainable. </w:t>
      </w:r>
    </w:p>
    <w:p w14:paraId="73F9C6C2" w14:textId="77777777" w:rsidR="00571D36" w:rsidRPr="0083583A" w:rsidRDefault="00571D36" w:rsidP="00571D36">
      <w:pPr>
        <w:pStyle w:val="ListParagraph"/>
        <w:numPr>
          <w:ilvl w:val="0"/>
          <w:numId w:val="16"/>
        </w:numPr>
      </w:pPr>
      <w:r w:rsidRPr="006B6B82">
        <w:rPr>
          <w:rFonts w:eastAsia="Times New Roman" w:cstheme="minorHAnsi"/>
          <w:color w:val="000000"/>
        </w:rPr>
        <w:t>Targets may remain the same several years in a row, though the final target year (2025-2026) must reflect improvement over baseline.</w:t>
      </w:r>
    </w:p>
    <w:p w14:paraId="504AFBE2" w14:textId="77777777" w:rsidR="00571D36" w:rsidRPr="006B6B82" w:rsidRDefault="00571D36" w:rsidP="00571D36">
      <w:pPr>
        <w:pStyle w:val="ListParagraph"/>
        <w:numPr>
          <w:ilvl w:val="0"/>
          <w:numId w:val="16"/>
        </w:numPr>
      </w:pPr>
      <w:r>
        <w:t>The goal for all components of indicator 14 is to be at or above the target.</w:t>
      </w:r>
    </w:p>
    <w:p w14:paraId="0A78B8B5" w14:textId="1D63FC39" w:rsidR="00A448B6" w:rsidRDefault="00A448B6" w:rsidP="00A448B6">
      <w:pPr>
        <w:pStyle w:val="Caption"/>
        <w:keepNext/>
      </w:pPr>
      <w:r>
        <w:t xml:space="preserve">Table </w:t>
      </w:r>
      <w:r>
        <w:fldChar w:fldCharType="begin"/>
      </w:r>
      <w:r>
        <w:instrText>SEQ Table \* ARABIC</w:instrText>
      </w:r>
      <w:r>
        <w:fldChar w:fldCharType="separate"/>
      </w:r>
      <w:r w:rsidR="003856B9">
        <w:rPr>
          <w:noProof/>
        </w:rPr>
        <w:t>7</w:t>
      </w:r>
      <w:r>
        <w:fldChar w:fldCharType="end"/>
      </w:r>
      <w:r>
        <w:t>. Proposed Target Table Option A – Indicator 14b</w:t>
      </w:r>
    </w:p>
    <w:tbl>
      <w:tblPr>
        <w:tblStyle w:val="PlainTable1"/>
        <w:tblW w:w="5000" w:type="pct"/>
        <w:tblLook w:val="04A0" w:firstRow="1" w:lastRow="0" w:firstColumn="1" w:lastColumn="0" w:noHBand="0" w:noVBand="1"/>
        <w:tblCaption w:val="Proposed Target Table Option A Ind 14b"/>
        <w:tblDescription w:val="This table displays the first set of proposed target options, Option A, for indicator 14b."/>
      </w:tblPr>
      <w:tblGrid>
        <w:gridCol w:w="1952"/>
        <w:gridCol w:w="1105"/>
        <w:gridCol w:w="1105"/>
        <w:gridCol w:w="1105"/>
        <w:gridCol w:w="1105"/>
        <w:gridCol w:w="1105"/>
        <w:gridCol w:w="1105"/>
        <w:gridCol w:w="1105"/>
        <w:gridCol w:w="1103"/>
      </w:tblGrid>
      <w:tr w:rsidR="00A448B6" w:rsidRPr="00781DC6" w14:paraId="5C4FD01E" w14:textId="77777777" w:rsidTr="00E62B99">
        <w:trPr>
          <w:cnfStyle w:val="100000000000" w:firstRow="1" w:lastRow="0" w:firstColumn="0" w:lastColumn="0" w:oddVBand="0" w:evenVBand="0" w:oddHBand="0" w:evenHBand="0" w:firstRowFirstColumn="0" w:firstRowLastColumn="0" w:lastRowFirstColumn="0" w:lastRowLastColumn="0"/>
          <w:cantSplit/>
          <w:trHeight w:val="432"/>
          <w:tblHeader/>
        </w:trPr>
        <w:tc>
          <w:tcPr>
            <w:cnfStyle w:val="001000000000" w:firstRow="0" w:lastRow="0" w:firstColumn="1" w:lastColumn="0" w:oddVBand="0" w:evenVBand="0" w:oddHBand="0" w:evenHBand="0" w:firstRowFirstColumn="0" w:firstRowLastColumn="0" w:lastRowFirstColumn="0" w:lastRowLastColumn="0"/>
            <w:tcW w:w="905" w:type="pct"/>
          </w:tcPr>
          <w:p w14:paraId="3D1F908F" w14:textId="713987C8" w:rsidR="00A448B6" w:rsidRPr="00781DC6" w:rsidRDefault="00A448B6" w:rsidP="00A448B6">
            <w:pPr>
              <w:spacing w:after="0"/>
              <w:jc w:val="center"/>
            </w:pPr>
            <w:bookmarkStart w:id="8" w:name="Title_14b_Proposed_Targets_A"/>
            <w:bookmarkEnd w:id="8"/>
            <w:r>
              <w:t>Indicator 14b</w:t>
            </w:r>
          </w:p>
        </w:tc>
        <w:tc>
          <w:tcPr>
            <w:tcW w:w="512" w:type="pct"/>
          </w:tcPr>
          <w:p w14:paraId="2A902903" w14:textId="77777777" w:rsidR="00E62B99" w:rsidRPr="00BB44AF" w:rsidRDefault="00E62B99" w:rsidP="00E62B99">
            <w:pPr>
              <w:spacing w:after="0"/>
              <w:jc w:val="center"/>
              <w:cnfStyle w:val="100000000000" w:firstRow="1" w:lastRow="0" w:firstColumn="0" w:lastColumn="0" w:oddVBand="0" w:evenVBand="0" w:oddHBand="0" w:evenHBand="0" w:firstRowFirstColumn="0" w:firstRowLastColumn="0" w:lastRowFirstColumn="0" w:lastRowLastColumn="0"/>
              <w:rPr>
                <w:sz w:val="16"/>
                <w:szCs w:val="16"/>
              </w:rPr>
            </w:pPr>
            <w:r w:rsidRPr="00BB44AF">
              <w:rPr>
                <w:sz w:val="16"/>
                <w:szCs w:val="16"/>
              </w:rPr>
              <w:t>2009-2010</w:t>
            </w:r>
          </w:p>
          <w:p w14:paraId="45781221" w14:textId="77823359" w:rsidR="00A448B6" w:rsidRPr="00781DC6" w:rsidRDefault="00A448B6" w:rsidP="00A448B6">
            <w:pPr>
              <w:spacing w:after="0"/>
              <w:jc w:val="center"/>
              <w:cnfStyle w:val="100000000000" w:firstRow="1" w:lastRow="0" w:firstColumn="0" w:lastColumn="0" w:oddVBand="0" w:evenVBand="0" w:oddHBand="0" w:evenHBand="0" w:firstRowFirstColumn="0" w:firstRowLastColumn="0" w:lastRowFirstColumn="0" w:lastRowLastColumn="0"/>
              <w:rPr>
                <w:sz w:val="20"/>
                <w:szCs w:val="20"/>
              </w:rPr>
            </w:pPr>
            <w:r w:rsidRPr="00BB44AF">
              <w:rPr>
                <w:sz w:val="16"/>
                <w:szCs w:val="16"/>
              </w:rPr>
              <w:t>Baseline</w:t>
            </w:r>
          </w:p>
        </w:tc>
        <w:tc>
          <w:tcPr>
            <w:tcW w:w="512" w:type="pct"/>
          </w:tcPr>
          <w:p w14:paraId="5FB652BD" w14:textId="77777777" w:rsidR="00E62B99" w:rsidRPr="00BB44AF" w:rsidRDefault="00E62B99" w:rsidP="00E62B99">
            <w:pPr>
              <w:spacing w:after="0"/>
              <w:jc w:val="center"/>
              <w:cnfStyle w:val="100000000000" w:firstRow="1" w:lastRow="0" w:firstColumn="0" w:lastColumn="0" w:oddVBand="0" w:evenVBand="0" w:oddHBand="0" w:evenHBand="0" w:firstRowFirstColumn="0" w:firstRowLastColumn="0" w:lastRowFirstColumn="0" w:lastRowLastColumn="0"/>
              <w:rPr>
                <w:sz w:val="16"/>
                <w:szCs w:val="16"/>
              </w:rPr>
            </w:pPr>
            <w:r w:rsidRPr="00BB44AF">
              <w:rPr>
                <w:sz w:val="16"/>
                <w:szCs w:val="16"/>
              </w:rPr>
              <w:t>2019-2020</w:t>
            </w:r>
          </w:p>
          <w:p w14:paraId="31391001" w14:textId="7090F8F8" w:rsidR="00A448B6" w:rsidRPr="00781DC6" w:rsidRDefault="00A448B6" w:rsidP="00A448B6">
            <w:pPr>
              <w:spacing w:after="0"/>
              <w:jc w:val="center"/>
              <w:cnfStyle w:val="100000000000" w:firstRow="1" w:lastRow="0" w:firstColumn="0" w:lastColumn="0" w:oddVBand="0" w:evenVBand="0" w:oddHBand="0" w:evenHBand="0" w:firstRowFirstColumn="0" w:firstRowLastColumn="0" w:lastRowFirstColumn="0" w:lastRowLastColumn="0"/>
              <w:rPr>
                <w:sz w:val="20"/>
                <w:szCs w:val="20"/>
              </w:rPr>
            </w:pPr>
            <w:r w:rsidRPr="00BB44AF">
              <w:rPr>
                <w:sz w:val="16"/>
                <w:szCs w:val="16"/>
              </w:rPr>
              <w:t>Data</w:t>
            </w:r>
          </w:p>
        </w:tc>
        <w:tc>
          <w:tcPr>
            <w:tcW w:w="512" w:type="pct"/>
          </w:tcPr>
          <w:p w14:paraId="5E363DD7" w14:textId="77777777" w:rsidR="00E62B99" w:rsidRPr="00BB44AF" w:rsidRDefault="00E62B99" w:rsidP="00E62B99">
            <w:pPr>
              <w:spacing w:after="0"/>
              <w:jc w:val="center"/>
              <w:cnfStyle w:val="100000000000" w:firstRow="1" w:lastRow="0" w:firstColumn="0" w:lastColumn="0" w:oddVBand="0" w:evenVBand="0" w:oddHBand="0" w:evenHBand="0" w:firstRowFirstColumn="0" w:firstRowLastColumn="0" w:lastRowFirstColumn="0" w:lastRowLastColumn="0"/>
              <w:rPr>
                <w:sz w:val="16"/>
                <w:szCs w:val="16"/>
              </w:rPr>
            </w:pPr>
            <w:r w:rsidRPr="00BB44AF">
              <w:rPr>
                <w:sz w:val="16"/>
                <w:szCs w:val="16"/>
              </w:rPr>
              <w:t>2020-2021</w:t>
            </w:r>
          </w:p>
          <w:p w14:paraId="0EB9A2A0" w14:textId="61EF42A9" w:rsidR="00A448B6" w:rsidRPr="00781DC6" w:rsidRDefault="00A448B6" w:rsidP="00A448B6">
            <w:pPr>
              <w:spacing w:after="0"/>
              <w:jc w:val="center"/>
              <w:cnfStyle w:val="100000000000" w:firstRow="1" w:lastRow="0" w:firstColumn="0" w:lastColumn="0" w:oddVBand="0" w:evenVBand="0" w:oddHBand="0" w:evenHBand="0" w:firstRowFirstColumn="0" w:firstRowLastColumn="0" w:lastRowFirstColumn="0" w:lastRowLastColumn="0"/>
              <w:rPr>
                <w:sz w:val="20"/>
                <w:szCs w:val="20"/>
              </w:rPr>
            </w:pPr>
            <w:r w:rsidRPr="00BB44AF">
              <w:rPr>
                <w:sz w:val="16"/>
                <w:szCs w:val="16"/>
              </w:rPr>
              <w:t>Proposed Target</w:t>
            </w:r>
          </w:p>
        </w:tc>
        <w:tc>
          <w:tcPr>
            <w:tcW w:w="512" w:type="pct"/>
          </w:tcPr>
          <w:p w14:paraId="02A08369" w14:textId="6C11199E" w:rsidR="00A448B6" w:rsidRPr="00781DC6" w:rsidRDefault="00A448B6" w:rsidP="00A448B6">
            <w:pPr>
              <w:spacing w:after="0"/>
              <w:jc w:val="center"/>
              <w:cnfStyle w:val="100000000000" w:firstRow="1" w:lastRow="0" w:firstColumn="0" w:lastColumn="0" w:oddVBand="0" w:evenVBand="0" w:oddHBand="0" w:evenHBand="0" w:firstRowFirstColumn="0" w:firstRowLastColumn="0" w:lastRowFirstColumn="0" w:lastRowLastColumn="0"/>
              <w:rPr>
                <w:sz w:val="20"/>
                <w:szCs w:val="20"/>
              </w:rPr>
            </w:pPr>
            <w:r w:rsidRPr="00BB44AF">
              <w:rPr>
                <w:sz w:val="16"/>
                <w:szCs w:val="16"/>
              </w:rPr>
              <w:t>2021-</w:t>
            </w:r>
            <w:r w:rsidR="00E62B99" w:rsidRPr="00BB44AF">
              <w:rPr>
                <w:sz w:val="16"/>
                <w:szCs w:val="16"/>
              </w:rPr>
              <w:t>2022</w:t>
            </w:r>
            <w:r w:rsidRPr="00BB44AF">
              <w:rPr>
                <w:sz w:val="16"/>
                <w:szCs w:val="16"/>
              </w:rPr>
              <w:t xml:space="preserve"> Proposed Target</w:t>
            </w:r>
          </w:p>
        </w:tc>
        <w:tc>
          <w:tcPr>
            <w:tcW w:w="512" w:type="pct"/>
          </w:tcPr>
          <w:p w14:paraId="62DDF7DC" w14:textId="0751735A" w:rsidR="00A448B6" w:rsidRPr="00781DC6" w:rsidRDefault="00A448B6" w:rsidP="00A448B6">
            <w:pPr>
              <w:spacing w:after="0"/>
              <w:jc w:val="center"/>
              <w:cnfStyle w:val="100000000000" w:firstRow="1" w:lastRow="0" w:firstColumn="0" w:lastColumn="0" w:oddVBand="0" w:evenVBand="0" w:oddHBand="0" w:evenHBand="0" w:firstRowFirstColumn="0" w:firstRowLastColumn="0" w:lastRowFirstColumn="0" w:lastRowLastColumn="0"/>
              <w:rPr>
                <w:sz w:val="20"/>
                <w:szCs w:val="20"/>
              </w:rPr>
            </w:pPr>
            <w:r w:rsidRPr="00BB44AF">
              <w:rPr>
                <w:sz w:val="16"/>
                <w:szCs w:val="16"/>
              </w:rPr>
              <w:t>2022-</w:t>
            </w:r>
            <w:r w:rsidR="00E62B99" w:rsidRPr="00BB44AF">
              <w:rPr>
                <w:sz w:val="16"/>
                <w:szCs w:val="16"/>
              </w:rPr>
              <w:t>2023</w:t>
            </w:r>
            <w:r w:rsidRPr="00BB44AF">
              <w:rPr>
                <w:sz w:val="16"/>
                <w:szCs w:val="16"/>
              </w:rPr>
              <w:t xml:space="preserve"> Proposed Target</w:t>
            </w:r>
          </w:p>
        </w:tc>
        <w:tc>
          <w:tcPr>
            <w:tcW w:w="512" w:type="pct"/>
          </w:tcPr>
          <w:p w14:paraId="787A8CE9" w14:textId="076E23AF" w:rsidR="00A448B6" w:rsidRPr="00781DC6" w:rsidRDefault="00A448B6" w:rsidP="00A448B6">
            <w:pPr>
              <w:spacing w:after="0"/>
              <w:jc w:val="center"/>
              <w:cnfStyle w:val="100000000000" w:firstRow="1" w:lastRow="0" w:firstColumn="0" w:lastColumn="0" w:oddVBand="0" w:evenVBand="0" w:oddHBand="0" w:evenHBand="0" w:firstRowFirstColumn="0" w:firstRowLastColumn="0" w:lastRowFirstColumn="0" w:lastRowLastColumn="0"/>
              <w:rPr>
                <w:sz w:val="20"/>
                <w:szCs w:val="20"/>
              </w:rPr>
            </w:pPr>
            <w:r w:rsidRPr="00BB44AF">
              <w:rPr>
                <w:sz w:val="16"/>
                <w:szCs w:val="16"/>
              </w:rPr>
              <w:t>2023-</w:t>
            </w:r>
            <w:r w:rsidR="00E62B99" w:rsidRPr="00BB44AF">
              <w:rPr>
                <w:sz w:val="16"/>
                <w:szCs w:val="16"/>
              </w:rPr>
              <w:t>2024</w:t>
            </w:r>
            <w:r w:rsidRPr="00BB44AF">
              <w:rPr>
                <w:sz w:val="16"/>
                <w:szCs w:val="16"/>
              </w:rPr>
              <w:t xml:space="preserve"> Proposed Target</w:t>
            </w:r>
          </w:p>
        </w:tc>
        <w:tc>
          <w:tcPr>
            <w:tcW w:w="512" w:type="pct"/>
          </w:tcPr>
          <w:p w14:paraId="107CBD42" w14:textId="7F5E5329" w:rsidR="00A448B6" w:rsidRPr="00781DC6" w:rsidRDefault="00A448B6" w:rsidP="00A448B6">
            <w:pPr>
              <w:spacing w:after="0"/>
              <w:jc w:val="center"/>
              <w:cnfStyle w:val="100000000000" w:firstRow="1" w:lastRow="0" w:firstColumn="0" w:lastColumn="0" w:oddVBand="0" w:evenVBand="0" w:oddHBand="0" w:evenHBand="0" w:firstRowFirstColumn="0" w:firstRowLastColumn="0" w:lastRowFirstColumn="0" w:lastRowLastColumn="0"/>
              <w:rPr>
                <w:sz w:val="20"/>
                <w:szCs w:val="20"/>
              </w:rPr>
            </w:pPr>
            <w:r w:rsidRPr="00BB44AF">
              <w:rPr>
                <w:sz w:val="16"/>
                <w:szCs w:val="16"/>
              </w:rPr>
              <w:t>2024-</w:t>
            </w:r>
            <w:r w:rsidR="00E62B99" w:rsidRPr="00BB44AF">
              <w:rPr>
                <w:sz w:val="16"/>
                <w:szCs w:val="16"/>
              </w:rPr>
              <w:t>2025</w:t>
            </w:r>
            <w:r w:rsidRPr="00BB44AF">
              <w:rPr>
                <w:sz w:val="16"/>
                <w:szCs w:val="16"/>
              </w:rPr>
              <w:t xml:space="preserve"> Proposed Target</w:t>
            </w:r>
          </w:p>
        </w:tc>
        <w:tc>
          <w:tcPr>
            <w:tcW w:w="512" w:type="pct"/>
          </w:tcPr>
          <w:p w14:paraId="1C755523" w14:textId="5B23BE08" w:rsidR="00A448B6" w:rsidRPr="00781DC6" w:rsidRDefault="00A448B6" w:rsidP="00A448B6">
            <w:pPr>
              <w:spacing w:after="0"/>
              <w:jc w:val="center"/>
              <w:cnfStyle w:val="100000000000" w:firstRow="1" w:lastRow="0" w:firstColumn="0" w:lastColumn="0" w:oddVBand="0" w:evenVBand="0" w:oddHBand="0" w:evenHBand="0" w:firstRowFirstColumn="0" w:firstRowLastColumn="0" w:lastRowFirstColumn="0" w:lastRowLastColumn="0"/>
              <w:rPr>
                <w:sz w:val="20"/>
                <w:szCs w:val="20"/>
              </w:rPr>
            </w:pPr>
            <w:r w:rsidRPr="00BB44AF">
              <w:rPr>
                <w:sz w:val="16"/>
                <w:szCs w:val="16"/>
              </w:rPr>
              <w:t>2025-</w:t>
            </w:r>
            <w:r w:rsidR="00E62B99" w:rsidRPr="00BB44AF">
              <w:rPr>
                <w:sz w:val="16"/>
                <w:szCs w:val="16"/>
              </w:rPr>
              <w:t>2026</w:t>
            </w:r>
            <w:r w:rsidRPr="00BB44AF">
              <w:rPr>
                <w:sz w:val="16"/>
                <w:szCs w:val="16"/>
              </w:rPr>
              <w:t xml:space="preserve"> Proposed Target</w:t>
            </w:r>
          </w:p>
        </w:tc>
      </w:tr>
      <w:tr w:rsidR="00A448B6" w14:paraId="23BCEB6D" w14:textId="77777777" w:rsidTr="00C76D53">
        <w:trPr>
          <w:cnfStyle w:val="000000100000" w:firstRow="0" w:lastRow="0" w:firstColumn="0" w:lastColumn="0" w:oddVBand="0" w:evenVBand="0" w:oddHBand="1" w:evenHBand="0" w:firstRowFirstColumn="0" w:firstRowLastColumn="0" w:lastRowFirstColumn="0" w:lastRowLastColumn="0"/>
          <w:cantSplit/>
          <w:trHeight w:val="432"/>
        </w:trPr>
        <w:tc>
          <w:tcPr>
            <w:cnfStyle w:val="001000000000" w:firstRow="0" w:lastRow="0" w:firstColumn="1" w:lastColumn="0" w:oddVBand="0" w:evenVBand="0" w:oddHBand="0" w:evenHBand="0" w:firstRowFirstColumn="0" w:firstRowLastColumn="0" w:lastRowFirstColumn="0" w:lastRowLastColumn="0"/>
            <w:tcW w:w="905" w:type="pct"/>
            <w:vAlign w:val="center"/>
          </w:tcPr>
          <w:p w14:paraId="7CEFF5C6" w14:textId="7313B938" w:rsidR="00A448B6" w:rsidRPr="00A448B6" w:rsidRDefault="00A448B6" w:rsidP="00A448B6">
            <w:pPr>
              <w:spacing w:after="0"/>
              <w:jc w:val="center"/>
              <w:rPr>
                <w:b w:val="0"/>
                <w:bCs w:val="0"/>
                <w:sz w:val="20"/>
                <w:szCs w:val="20"/>
              </w:rPr>
            </w:pPr>
            <w:r w:rsidRPr="00A448B6">
              <w:rPr>
                <w:b w:val="0"/>
                <w:bCs w:val="0"/>
                <w:sz w:val="20"/>
                <w:szCs w:val="20"/>
              </w:rPr>
              <w:t>14b: Percentage of youth with IEPs enrolled in higher education or competitively employed within one year of leaving high school</w:t>
            </w:r>
          </w:p>
        </w:tc>
        <w:tc>
          <w:tcPr>
            <w:tcW w:w="512" w:type="pct"/>
            <w:vAlign w:val="center"/>
          </w:tcPr>
          <w:p w14:paraId="1CB495D5" w14:textId="1C4957C8" w:rsidR="00A448B6" w:rsidRDefault="00A448B6" w:rsidP="00C76D53">
            <w:pPr>
              <w:spacing w:after="0"/>
              <w:jc w:val="center"/>
              <w:cnfStyle w:val="000000100000" w:firstRow="0" w:lastRow="0" w:firstColumn="0" w:lastColumn="0" w:oddVBand="0" w:evenVBand="0" w:oddHBand="1" w:evenHBand="0" w:firstRowFirstColumn="0" w:firstRowLastColumn="0" w:lastRowFirstColumn="0" w:lastRowLastColumn="0"/>
            </w:pPr>
            <w:r>
              <w:t>62.70%</w:t>
            </w:r>
          </w:p>
        </w:tc>
        <w:tc>
          <w:tcPr>
            <w:tcW w:w="512" w:type="pct"/>
            <w:vAlign w:val="center"/>
          </w:tcPr>
          <w:p w14:paraId="56E4CB3E" w14:textId="153DBA42" w:rsidR="00A448B6" w:rsidRDefault="00A448B6" w:rsidP="00C76D53">
            <w:pPr>
              <w:spacing w:after="0"/>
              <w:jc w:val="center"/>
              <w:cnfStyle w:val="000000100000" w:firstRow="0" w:lastRow="0" w:firstColumn="0" w:lastColumn="0" w:oddVBand="0" w:evenVBand="0" w:oddHBand="1" w:evenHBand="0" w:firstRowFirstColumn="0" w:firstRowLastColumn="0" w:lastRowFirstColumn="0" w:lastRowLastColumn="0"/>
            </w:pPr>
            <w:r>
              <w:t>79.01%</w:t>
            </w:r>
          </w:p>
        </w:tc>
        <w:tc>
          <w:tcPr>
            <w:tcW w:w="512" w:type="pct"/>
            <w:vAlign w:val="center"/>
          </w:tcPr>
          <w:p w14:paraId="2255F293" w14:textId="5119093C" w:rsidR="00A448B6" w:rsidRDefault="00A448B6" w:rsidP="00C76D53">
            <w:pPr>
              <w:spacing w:after="0"/>
              <w:jc w:val="center"/>
              <w:cnfStyle w:val="000000100000" w:firstRow="0" w:lastRow="0" w:firstColumn="0" w:lastColumn="0" w:oddVBand="0" w:evenVBand="0" w:oddHBand="1" w:evenHBand="0" w:firstRowFirstColumn="0" w:firstRowLastColumn="0" w:lastRowFirstColumn="0" w:lastRowLastColumn="0"/>
            </w:pPr>
            <w:r>
              <w:t>79.01%</w:t>
            </w:r>
          </w:p>
        </w:tc>
        <w:tc>
          <w:tcPr>
            <w:tcW w:w="512" w:type="pct"/>
            <w:vAlign w:val="center"/>
          </w:tcPr>
          <w:p w14:paraId="5647BE34" w14:textId="12EEC0FD" w:rsidR="00A448B6" w:rsidRDefault="00A448B6" w:rsidP="00C76D53">
            <w:pPr>
              <w:spacing w:after="0"/>
              <w:jc w:val="center"/>
              <w:cnfStyle w:val="000000100000" w:firstRow="0" w:lastRow="0" w:firstColumn="0" w:lastColumn="0" w:oddVBand="0" w:evenVBand="0" w:oddHBand="1" w:evenHBand="0" w:firstRowFirstColumn="0" w:firstRowLastColumn="0" w:lastRowFirstColumn="0" w:lastRowLastColumn="0"/>
            </w:pPr>
            <w:r>
              <w:t>80.00%</w:t>
            </w:r>
          </w:p>
        </w:tc>
        <w:tc>
          <w:tcPr>
            <w:tcW w:w="512" w:type="pct"/>
            <w:vAlign w:val="center"/>
          </w:tcPr>
          <w:p w14:paraId="1958B1B3" w14:textId="620FA47A" w:rsidR="00A448B6" w:rsidRDefault="00A448B6" w:rsidP="00C76D53">
            <w:pPr>
              <w:spacing w:after="0"/>
              <w:jc w:val="center"/>
              <w:cnfStyle w:val="000000100000" w:firstRow="0" w:lastRow="0" w:firstColumn="0" w:lastColumn="0" w:oddVBand="0" w:evenVBand="0" w:oddHBand="1" w:evenHBand="0" w:firstRowFirstColumn="0" w:firstRowLastColumn="0" w:lastRowFirstColumn="0" w:lastRowLastColumn="0"/>
            </w:pPr>
            <w:r>
              <w:t>81.00%</w:t>
            </w:r>
          </w:p>
        </w:tc>
        <w:tc>
          <w:tcPr>
            <w:tcW w:w="512" w:type="pct"/>
            <w:vAlign w:val="center"/>
          </w:tcPr>
          <w:p w14:paraId="7AA5ED93" w14:textId="7FE8D997" w:rsidR="00A448B6" w:rsidRDefault="00A448B6" w:rsidP="00C76D53">
            <w:pPr>
              <w:spacing w:after="0"/>
              <w:jc w:val="center"/>
              <w:cnfStyle w:val="000000100000" w:firstRow="0" w:lastRow="0" w:firstColumn="0" w:lastColumn="0" w:oddVBand="0" w:evenVBand="0" w:oddHBand="1" w:evenHBand="0" w:firstRowFirstColumn="0" w:firstRowLastColumn="0" w:lastRowFirstColumn="0" w:lastRowLastColumn="0"/>
            </w:pPr>
            <w:r>
              <w:t>82.00%</w:t>
            </w:r>
          </w:p>
        </w:tc>
        <w:tc>
          <w:tcPr>
            <w:tcW w:w="512" w:type="pct"/>
            <w:vAlign w:val="center"/>
          </w:tcPr>
          <w:p w14:paraId="4A982088" w14:textId="7DF3AEEF" w:rsidR="00A448B6" w:rsidRDefault="00A448B6" w:rsidP="00C76D53">
            <w:pPr>
              <w:spacing w:after="0"/>
              <w:jc w:val="center"/>
              <w:cnfStyle w:val="000000100000" w:firstRow="0" w:lastRow="0" w:firstColumn="0" w:lastColumn="0" w:oddVBand="0" w:evenVBand="0" w:oddHBand="1" w:evenHBand="0" w:firstRowFirstColumn="0" w:firstRowLastColumn="0" w:lastRowFirstColumn="0" w:lastRowLastColumn="0"/>
            </w:pPr>
            <w:r>
              <w:t>83.00%</w:t>
            </w:r>
          </w:p>
        </w:tc>
        <w:tc>
          <w:tcPr>
            <w:tcW w:w="512" w:type="pct"/>
            <w:vAlign w:val="center"/>
          </w:tcPr>
          <w:p w14:paraId="4924CC42" w14:textId="58574C30" w:rsidR="00A448B6" w:rsidRDefault="00A448B6" w:rsidP="00C76D53">
            <w:pPr>
              <w:spacing w:after="0"/>
              <w:jc w:val="center"/>
              <w:cnfStyle w:val="000000100000" w:firstRow="0" w:lastRow="0" w:firstColumn="0" w:lastColumn="0" w:oddVBand="0" w:evenVBand="0" w:oddHBand="1" w:evenHBand="0" w:firstRowFirstColumn="0" w:firstRowLastColumn="0" w:lastRowFirstColumn="0" w:lastRowLastColumn="0"/>
            </w:pPr>
            <w:r>
              <w:t>84.00%</w:t>
            </w:r>
          </w:p>
        </w:tc>
      </w:tr>
    </w:tbl>
    <w:p w14:paraId="3AF437E2" w14:textId="698E0879" w:rsidR="00864206" w:rsidRDefault="00864206" w:rsidP="00864206">
      <w:pPr>
        <w:pStyle w:val="Heading3"/>
      </w:pPr>
      <w:r w:rsidRPr="00CF4E24">
        <w:rPr>
          <w:rFonts w:eastAsiaTheme="minorHAnsi"/>
        </w:rPr>
        <w:t xml:space="preserve">Option </w:t>
      </w:r>
      <w:r>
        <w:rPr>
          <w:rFonts w:eastAsiaTheme="minorHAnsi"/>
        </w:rPr>
        <w:t>A</w:t>
      </w:r>
      <w:r w:rsidRPr="00CF4E24">
        <w:rPr>
          <w:rFonts w:eastAsiaTheme="minorHAnsi"/>
        </w:rPr>
        <w:t xml:space="preserve"> Rationale</w:t>
      </w:r>
      <w:r w:rsidR="00700486">
        <w:rPr>
          <w:rFonts w:eastAsiaTheme="minorHAnsi"/>
        </w:rPr>
        <w:t xml:space="preserve"> – Indicator </w:t>
      </w:r>
      <w:r w:rsidR="00700486" w:rsidRPr="003A46D0">
        <w:t>14b</w:t>
      </w:r>
    </w:p>
    <w:p w14:paraId="3004731C" w14:textId="0095E5E7" w:rsidR="00775D87" w:rsidRPr="00775D87" w:rsidRDefault="00775D87" w:rsidP="00775D87">
      <w:pPr>
        <w:pStyle w:val="ListParagraph"/>
        <w:numPr>
          <w:ilvl w:val="0"/>
          <w:numId w:val="38"/>
        </w:numPr>
        <w:spacing w:before="120"/>
        <w:contextualSpacing w:val="0"/>
        <w:rPr>
          <w:rFonts w:cstheme="minorHAnsi"/>
        </w:rPr>
      </w:pPr>
      <w:r w:rsidRPr="00775D87">
        <w:rPr>
          <w:rFonts w:cstheme="minorHAnsi"/>
        </w:rPr>
        <w:t>With the strategies, initiatives and legislation described under the Programmatic Considerations on p</w:t>
      </w:r>
      <w:r w:rsidR="005707BB">
        <w:rPr>
          <w:rFonts w:cstheme="minorHAnsi"/>
        </w:rPr>
        <w:t>ages</w:t>
      </w:r>
      <w:r w:rsidR="00363EB4">
        <w:rPr>
          <w:rFonts w:cstheme="minorHAnsi"/>
        </w:rPr>
        <w:t xml:space="preserve"> </w:t>
      </w:r>
      <w:r w:rsidRPr="00775D87">
        <w:rPr>
          <w:rFonts w:cstheme="minorHAnsi"/>
        </w:rPr>
        <w:t xml:space="preserve">9-10, the </w:t>
      </w:r>
      <w:r w:rsidR="005707BB">
        <w:rPr>
          <w:rFonts w:cstheme="minorHAnsi"/>
        </w:rPr>
        <w:t xml:space="preserve">Ohio </w:t>
      </w:r>
      <w:r w:rsidRPr="00775D87">
        <w:rPr>
          <w:rFonts w:cstheme="minorHAnsi"/>
        </w:rPr>
        <w:t>Department</w:t>
      </w:r>
      <w:r w:rsidR="005707BB">
        <w:rPr>
          <w:rFonts w:cstheme="minorHAnsi"/>
        </w:rPr>
        <w:t xml:space="preserve"> of Education</w:t>
      </w:r>
      <w:r w:rsidRPr="00775D87">
        <w:rPr>
          <w:rFonts w:cstheme="minorHAnsi"/>
        </w:rPr>
        <w:t xml:space="preserve"> expects consistent growth over the course of the upcoming target years. </w:t>
      </w:r>
    </w:p>
    <w:p w14:paraId="08E7F722" w14:textId="21C9B6BB" w:rsidR="00775D87" w:rsidRPr="00775D87" w:rsidRDefault="00775D87" w:rsidP="00775D87">
      <w:pPr>
        <w:pStyle w:val="ListParagraph"/>
        <w:numPr>
          <w:ilvl w:val="0"/>
          <w:numId w:val="38"/>
        </w:numPr>
        <w:spacing w:before="120"/>
        <w:contextualSpacing w:val="0"/>
        <w:rPr>
          <w:rFonts w:cstheme="minorHAnsi"/>
        </w:rPr>
      </w:pPr>
      <w:r w:rsidRPr="00775D87">
        <w:rPr>
          <w:rStyle w:val="normaltextrun"/>
          <w:rFonts w:cs="Arial"/>
          <w:color w:val="000000"/>
        </w:rPr>
        <w:t>In comparison to Ohio’s 2019-</w:t>
      </w:r>
      <w:r w:rsidR="005707BB">
        <w:rPr>
          <w:rStyle w:val="normaltextrun"/>
          <w:rFonts w:cs="Arial"/>
          <w:color w:val="000000"/>
        </w:rPr>
        <w:t>20</w:t>
      </w:r>
      <w:r w:rsidRPr="00775D87">
        <w:rPr>
          <w:rStyle w:val="normaltextrun"/>
          <w:rFonts w:cs="Arial"/>
          <w:color w:val="000000"/>
        </w:rPr>
        <w:t>20 performance, m</w:t>
      </w:r>
      <w:r w:rsidRPr="00775D87">
        <w:rPr>
          <w:rFonts w:cs="Arial"/>
        </w:rPr>
        <w:t>eeting</w:t>
      </w:r>
      <w:r w:rsidRPr="00775D87">
        <w:rPr>
          <w:rFonts w:cstheme="minorHAnsi"/>
        </w:rPr>
        <w:t xml:space="preserve"> the final target of 84% by 2025-</w:t>
      </w:r>
      <w:r w:rsidR="005707BB">
        <w:rPr>
          <w:rFonts w:cstheme="minorHAnsi"/>
        </w:rPr>
        <w:t>20</w:t>
      </w:r>
      <w:r w:rsidRPr="00775D87">
        <w:rPr>
          <w:rFonts w:cstheme="minorHAnsi"/>
        </w:rPr>
        <w:t xml:space="preserve">26 will require </w:t>
      </w:r>
      <w:r w:rsidRPr="003856B9">
        <w:rPr>
          <w:rFonts w:cstheme="minorHAnsi"/>
          <w:b/>
          <w:bCs/>
        </w:rPr>
        <w:t>63</w:t>
      </w:r>
      <w:r w:rsidRPr="00775D87">
        <w:rPr>
          <w:rFonts w:cstheme="minorHAnsi"/>
        </w:rPr>
        <w:t xml:space="preserve"> more students with </w:t>
      </w:r>
      <w:r w:rsidRPr="00285A8A">
        <w:t xml:space="preserve">disabilities </w:t>
      </w:r>
      <w:r>
        <w:t>within the survey sample</w:t>
      </w:r>
      <w:r w:rsidRPr="00285A8A">
        <w:t xml:space="preserve"> to enroll in higher education or be competitively employed within one year of leaving high school.</w:t>
      </w:r>
    </w:p>
    <w:p w14:paraId="69294D4C" w14:textId="3E9A2EB9" w:rsidR="00775D87" w:rsidRDefault="00775D87" w:rsidP="00775D87">
      <w:pPr>
        <w:pStyle w:val="Caption"/>
        <w:keepNext/>
      </w:pPr>
      <w:r>
        <w:t xml:space="preserve">Table </w:t>
      </w:r>
      <w:r>
        <w:fldChar w:fldCharType="begin"/>
      </w:r>
      <w:r>
        <w:instrText>SEQ Table \* ARABIC</w:instrText>
      </w:r>
      <w:r>
        <w:fldChar w:fldCharType="separate"/>
      </w:r>
      <w:r w:rsidR="003856B9">
        <w:rPr>
          <w:noProof/>
        </w:rPr>
        <w:t>8</w:t>
      </w:r>
      <w:r>
        <w:fldChar w:fldCharType="end"/>
      </w:r>
      <w:r>
        <w:t>. Proposed Target Table Option B – Indicator 14b</w:t>
      </w:r>
    </w:p>
    <w:tbl>
      <w:tblPr>
        <w:tblStyle w:val="PlainTable1"/>
        <w:tblW w:w="5000" w:type="pct"/>
        <w:tblLook w:val="04A0" w:firstRow="1" w:lastRow="0" w:firstColumn="1" w:lastColumn="0" w:noHBand="0" w:noVBand="1"/>
        <w:tblCaption w:val="Proposed Target Table Option B Ind 14b"/>
        <w:tblDescription w:val="This table displays the second set of proposed target options, Option B, for indicator 14b."/>
      </w:tblPr>
      <w:tblGrid>
        <w:gridCol w:w="1952"/>
        <w:gridCol w:w="1105"/>
        <w:gridCol w:w="1105"/>
        <w:gridCol w:w="1105"/>
        <w:gridCol w:w="1105"/>
        <w:gridCol w:w="1105"/>
        <w:gridCol w:w="1105"/>
        <w:gridCol w:w="1105"/>
        <w:gridCol w:w="1103"/>
      </w:tblGrid>
      <w:tr w:rsidR="00775D87" w:rsidRPr="00781DC6" w14:paraId="6A00A464" w14:textId="77777777" w:rsidTr="00E62B99">
        <w:trPr>
          <w:cnfStyle w:val="100000000000" w:firstRow="1" w:lastRow="0" w:firstColumn="0" w:lastColumn="0" w:oddVBand="0" w:evenVBand="0" w:oddHBand="0" w:evenHBand="0" w:firstRowFirstColumn="0" w:firstRowLastColumn="0" w:lastRowFirstColumn="0" w:lastRowLastColumn="0"/>
          <w:cantSplit/>
          <w:trHeight w:val="432"/>
          <w:tblHeader/>
        </w:trPr>
        <w:tc>
          <w:tcPr>
            <w:cnfStyle w:val="001000000000" w:firstRow="0" w:lastRow="0" w:firstColumn="1" w:lastColumn="0" w:oddVBand="0" w:evenVBand="0" w:oddHBand="0" w:evenHBand="0" w:firstRowFirstColumn="0" w:firstRowLastColumn="0" w:lastRowFirstColumn="0" w:lastRowLastColumn="0"/>
            <w:tcW w:w="905" w:type="pct"/>
          </w:tcPr>
          <w:p w14:paraId="783700BD" w14:textId="77777777" w:rsidR="00775D87" w:rsidRPr="00781DC6" w:rsidRDefault="00775D87" w:rsidP="00D03C9D">
            <w:pPr>
              <w:spacing w:after="0"/>
              <w:jc w:val="center"/>
            </w:pPr>
            <w:bookmarkStart w:id="9" w:name="Title_14b_Proposed_Targets_B"/>
            <w:bookmarkEnd w:id="9"/>
            <w:r>
              <w:t>Indicator 14b</w:t>
            </w:r>
          </w:p>
        </w:tc>
        <w:tc>
          <w:tcPr>
            <w:tcW w:w="512" w:type="pct"/>
          </w:tcPr>
          <w:p w14:paraId="12415684" w14:textId="77777777" w:rsidR="00E62B99" w:rsidRPr="00BB44AF" w:rsidRDefault="00E62B99" w:rsidP="00E62B99">
            <w:pPr>
              <w:spacing w:after="0"/>
              <w:jc w:val="center"/>
              <w:cnfStyle w:val="100000000000" w:firstRow="1" w:lastRow="0" w:firstColumn="0" w:lastColumn="0" w:oddVBand="0" w:evenVBand="0" w:oddHBand="0" w:evenHBand="0" w:firstRowFirstColumn="0" w:firstRowLastColumn="0" w:lastRowFirstColumn="0" w:lastRowLastColumn="0"/>
              <w:rPr>
                <w:sz w:val="16"/>
                <w:szCs w:val="16"/>
              </w:rPr>
            </w:pPr>
            <w:r w:rsidRPr="00BB44AF">
              <w:rPr>
                <w:sz w:val="16"/>
                <w:szCs w:val="16"/>
              </w:rPr>
              <w:t>2009-2010</w:t>
            </w:r>
          </w:p>
          <w:p w14:paraId="1901C03E" w14:textId="6FA0AFFC" w:rsidR="00775D87" w:rsidRPr="00781DC6" w:rsidRDefault="00775D87" w:rsidP="00D03C9D">
            <w:pPr>
              <w:spacing w:after="0"/>
              <w:jc w:val="center"/>
              <w:cnfStyle w:val="100000000000" w:firstRow="1" w:lastRow="0" w:firstColumn="0" w:lastColumn="0" w:oddVBand="0" w:evenVBand="0" w:oddHBand="0" w:evenHBand="0" w:firstRowFirstColumn="0" w:firstRowLastColumn="0" w:lastRowFirstColumn="0" w:lastRowLastColumn="0"/>
              <w:rPr>
                <w:sz w:val="20"/>
                <w:szCs w:val="20"/>
              </w:rPr>
            </w:pPr>
            <w:r w:rsidRPr="00BB44AF">
              <w:rPr>
                <w:sz w:val="16"/>
                <w:szCs w:val="16"/>
              </w:rPr>
              <w:t>Baseline</w:t>
            </w:r>
          </w:p>
        </w:tc>
        <w:tc>
          <w:tcPr>
            <w:tcW w:w="512" w:type="pct"/>
          </w:tcPr>
          <w:p w14:paraId="5C563C04" w14:textId="77777777" w:rsidR="00E62B99" w:rsidRPr="00BB44AF" w:rsidRDefault="00E62B99" w:rsidP="00E62B99">
            <w:pPr>
              <w:spacing w:after="0"/>
              <w:jc w:val="center"/>
              <w:cnfStyle w:val="100000000000" w:firstRow="1" w:lastRow="0" w:firstColumn="0" w:lastColumn="0" w:oddVBand="0" w:evenVBand="0" w:oddHBand="0" w:evenHBand="0" w:firstRowFirstColumn="0" w:firstRowLastColumn="0" w:lastRowFirstColumn="0" w:lastRowLastColumn="0"/>
              <w:rPr>
                <w:sz w:val="16"/>
                <w:szCs w:val="16"/>
              </w:rPr>
            </w:pPr>
            <w:r w:rsidRPr="00BB44AF">
              <w:rPr>
                <w:sz w:val="16"/>
                <w:szCs w:val="16"/>
              </w:rPr>
              <w:t>2019-2020</w:t>
            </w:r>
          </w:p>
          <w:p w14:paraId="64C0C1F1" w14:textId="73495133" w:rsidR="00775D87" w:rsidRPr="00781DC6" w:rsidRDefault="00775D87" w:rsidP="00D03C9D">
            <w:pPr>
              <w:spacing w:after="0"/>
              <w:jc w:val="center"/>
              <w:cnfStyle w:val="100000000000" w:firstRow="1" w:lastRow="0" w:firstColumn="0" w:lastColumn="0" w:oddVBand="0" w:evenVBand="0" w:oddHBand="0" w:evenHBand="0" w:firstRowFirstColumn="0" w:firstRowLastColumn="0" w:lastRowFirstColumn="0" w:lastRowLastColumn="0"/>
              <w:rPr>
                <w:sz w:val="20"/>
                <w:szCs w:val="20"/>
              </w:rPr>
            </w:pPr>
            <w:r w:rsidRPr="00BB44AF">
              <w:rPr>
                <w:sz w:val="16"/>
                <w:szCs w:val="16"/>
              </w:rPr>
              <w:t>Data</w:t>
            </w:r>
          </w:p>
        </w:tc>
        <w:tc>
          <w:tcPr>
            <w:tcW w:w="512" w:type="pct"/>
          </w:tcPr>
          <w:p w14:paraId="1535F1EE" w14:textId="77777777" w:rsidR="00E62B99" w:rsidRPr="00BB44AF" w:rsidRDefault="00E62B99" w:rsidP="00E62B99">
            <w:pPr>
              <w:spacing w:after="0"/>
              <w:jc w:val="center"/>
              <w:cnfStyle w:val="100000000000" w:firstRow="1" w:lastRow="0" w:firstColumn="0" w:lastColumn="0" w:oddVBand="0" w:evenVBand="0" w:oddHBand="0" w:evenHBand="0" w:firstRowFirstColumn="0" w:firstRowLastColumn="0" w:lastRowFirstColumn="0" w:lastRowLastColumn="0"/>
              <w:rPr>
                <w:sz w:val="16"/>
                <w:szCs w:val="16"/>
              </w:rPr>
            </w:pPr>
            <w:r w:rsidRPr="00BB44AF">
              <w:rPr>
                <w:sz w:val="16"/>
                <w:szCs w:val="16"/>
              </w:rPr>
              <w:t>2020-2021</w:t>
            </w:r>
          </w:p>
          <w:p w14:paraId="2ED35368" w14:textId="518EECF6" w:rsidR="00775D87" w:rsidRPr="00781DC6" w:rsidRDefault="00775D87" w:rsidP="00D03C9D">
            <w:pPr>
              <w:spacing w:after="0"/>
              <w:jc w:val="center"/>
              <w:cnfStyle w:val="100000000000" w:firstRow="1" w:lastRow="0" w:firstColumn="0" w:lastColumn="0" w:oddVBand="0" w:evenVBand="0" w:oddHBand="0" w:evenHBand="0" w:firstRowFirstColumn="0" w:firstRowLastColumn="0" w:lastRowFirstColumn="0" w:lastRowLastColumn="0"/>
              <w:rPr>
                <w:sz w:val="20"/>
                <w:szCs w:val="20"/>
              </w:rPr>
            </w:pPr>
            <w:r w:rsidRPr="00BB44AF">
              <w:rPr>
                <w:sz w:val="16"/>
                <w:szCs w:val="16"/>
              </w:rPr>
              <w:t>Proposed Target</w:t>
            </w:r>
          </w:p>
        </w:tc>
        <w:tc>
          <w:tcPr>
            <w:tcW w:w="512" w:type="pct"/>
          </w:tcPr>
          <w:p w14:paraId="7C339678" w14:textId="7CFB5E5B" w:rsidR="00775D87" w:rsidRPr="00781DC6" w:rsidRDefault="00775D87" w:rsidP="00D03C9D">
            <w:pPr>
              <w:spacing w:after="0"/>
              <w:jc w:val="center"/>
              <w:cnfStyle w:val="100000000000" w:firstRow="1" w:lastRow="0" w:firstColumn="0" w:lastColumn="0" w:oddVBand="0" w:evenVBand="0" w:oddHBand="0" w:evenHBand="0" w:firstRowFirstColumn="0" w:firstRowLastColumn="0" w:lastRowFirstColumn="0" w:lastRowLastColumn="0"/>
              <w:rPr>
                <w:sz w:val="20"/>
                <w:szCs w:val="20"/>
              </w:rPr>
            </w:pPr>
            <w:r w:rsidRPr="00BB44AF">
              <w:rPr>
                <w:sz w:val="16"/>
                <w:szCs w:val="16"/>
              </w:rPr>
              <w:t>2021-</w:t>
            </w:r>
            <w:r w:rsidR="00E62B99" w:rsidRPr="00BB44AF">
              <w:rPr>
                <w:sz w:val="16"/>
                <w:szCs w:val="16"/>
              </w:rPr>
              <w:t>2022</w:t>
            </w:r>
            <w:r w:rsidRPr="00BB44AF">
              <w:rPr>
                <w:sz w:val="16"/>
                <w:szCs w:val="16"/>
              </w:rPr>
              <w:t xml:space="preserve"> Proposed Target</w:t>
            </w:r>
          </w:p>
        </w:tc>
        <w:tc>
          <w:tcPr>
            <w:tcW w:w="512" w:type="pct"/>
          </w:tcPr>
          <w:p w14:paraId="622063B1" w14:textId="3F7F63AC" w:rsidR="00775D87" w:rsidRPr="00781DC6" w:rsidRDefault="00775D87" w:rsidP="00D03C9D">
            <w:pPr>
              <w:spacing w:after="0"/>
              <w:jc w:val="center"/>
              <w:cnfStyle w:val="100000000000" w:firstRow="1" w:lastRow="0" w:firstColumn="0" w:lastColumn="0" w:oddVBand="0" w:evenVBand="0" w:oddHBand="0" w:evenHBand="0" w:firstRowFirstColumn="0" w:firstRowLastColumn="0" w:lastRowFirstColumn="0" w:lastRowLastColumn="0"/>
              <w:rPr>
                <w:sz w:val="20"/>
                <w:szCs w:val="20"/>
              </w:rPr>
            </w:pPr>
            <w:r w:rsidRPr="00BB44AF">
              <w:rPr>
                <w:sz w:val="16"/>
                <w:szCs w:val="16"/>
              </w:rPr>
              <w:t>2022-</w:t>
            </w:r>
            <w:r w:rsidR="00E62B99" w:rsidRPr="00BB44AF">
              <w:rPr>
                <w:sz w:val="16"/>
                <w:szCs w:val="16"/>
              </w:rPr>
              <w:t>2023</w:t>
            </w:r>
            <w:r w:rsidRPr="00BB44AF">
              <w:rPr>
                <w:sz w:val="16"/>
                <w:szCs w:val="16"/>
              </w:rPr>
              <w:t xml:space="preserve"> Proposed Target</w:t>
            </w:r>
          </w:p>
        </w:tc>
        <w:tc>
          <w:tcPr>
            <w:tcW w:w="512" w:type="pct"/>
          </w:tcPr>
          <w:p w14:paraId="0F9D5EF0" w14:textId="79D1A7BE" w:rsidR="00775D87" w:rsidRPr="00781DC6" w:rsidRDefault="00775D87" w:rsidP="00D03C9D">
            <w:pPr>
              <w:spacing w:after="0"/>
              <w:jc w:val="center"/>
              <w:cnfStyle w:val="100000000000" w:firstRow="1" w:lastRow="0" w:firstColumn="0" w:lastColumn="0" w:oddVBand="0" w:evenVBand="0" w:oddHBand="0" w:evenHBand="0" w:firstRowFirstColumn="0" w:firstRowLastColumn="0" w:lastRowFirstColumn="0" w:lastRowLastColumn="0"/>
              <w:rPr>
                <w:sz w:val="20"/>
                <w:szCs w:val="20"/>
              </w:rPr>
            </w:pPr>
            <w:r w:rsidRPr="00BB44AF">
              <w:rPr>
                <w:sz w:val="16"/>
                <w:szCs w:val="16"/>
              </w:rPr>
              <w:t>2023-</w:t>
            </w:r>
            <w:r w:rsidR="00E62B99" w:rsidRPr="00BB44AF">
              <w:rPr>
                <w:sz w:val="16"/>
                <w:szCs w:val="16"/>
              </w:rPr>
              <w:t>2024</w:t>
            </w:r>
            <w:r w:rsidRPr="00BB44AF">
              <w:rPr>
                <w:sz w:val="16"/>
                <w:szCs w:val="16"/>
              </w:rPr>
              <w:t xml:space="preserve"> Proposed Target</w:t>
            </w:r>
          </w:p>
        </w:tc>
        <w:tc>
          <w:tcPr>
            <w:tcW w:w="512" w:type="pct"/>
          </w:tcPr>
          <w:p w14:paraId="234FC44D" w14:textId="25041946" w:rsidR="00775D87" w:rsidRPr="00781DC6" w:rsidRDefault="00775D87" w:rsidP="00D03C9D">
            <w:pPr>
              <w:spacing w:after="0"/>
              <w:jc w:val="center"/>
              <w:cnfStyle w:val="100000000000" w:firstRow="1" w:lastRow="0" w:firstColumn="0" w:lastColumn="0" w:oddVBand="0" w:evenVBand="0" w:oddHBand="0" w:evenHBand="0" w:firstRowFirstColumn="0" w:firstRowLastColumn="0" w:lastRowFirstColumn="0" w:lastRowLastColumn="0"/>
              <w:rPr>
                <w:sz w:val="20"/>
                <w:szCs w:val="20"/>
              </w:rPr>
            </w:pPr>
            <w:r w:rsidRPr="00BB44AF">
              <w:rPr>
                <w:sz w:val="16"/>
                <w:szCs w:val="16"/>
              </w:rPr>
              <w:t>2024-</w:t>
            </w:r>
            <w:r w:rsidR="00E62B99" w:rsidRPr="00BB44AF">
              <w:rPr>
                <w:sz w:val="16"/>
                <w:szCs w:val="16"/>
              </w:rPr>
              <w:t>2025</w:t>
            </w:r>
            <w:r w:rsidRPr="00BB44AF">
              <w:rPr>
                <w:sz w:val="16"/>
                <w:szCs w:val="16"/>
              </w:rPr>
              <w:t xml:space="preserve"> Proposed Target</w:t>
            </w:r>
          </w:p>
        </w:tc>
        <w:tc>
          <w:tcPr>
            <w:tcW w:w="512" w:type="pct"/>
          </w:tcPr>
          <w:p w14:paraId="462A90C5" w14:textId="25457A78" w:rsidR="00775D87" w:rsidRPr="00781DC6" w:rsidRDefault="00775D87" w:rsidP="00D03C9D">
            <w:pPr>
              <w:spacing w:after="0"/>
              <w:jc w:val="center"/>
              <w:cnfStyle w:val="100000000000" w:firstRow="1" w:lastRow="0" w:firstColumn="0" w:lastColumn="0" w:oddVBand="0" w:evenVBand="0" w:oddHBand="0" w:evenHBand="0" w:firstRowFirstColumn="0" w:firstRowLastColumn="0" w:lastRowFirstColumn="0" w:lastRowLastColumn="0"/>
              <w:rPr>
                <w:sz w:val="20"/>
                <w:szCs w:val="20"/>
              </w:rPr>
            </w:pPr>
            <w:r w:rsidRPr="00BB44AF">
              <w:rPr>
                <w:sz w:val="16"/>
                <w:szCs w:val="16"/>
              </w:rPr>
              <w:t>2025-</w:t>
            </w:r>
            <w:r w:rsidR="00E62B99" w:rsidRPr="00BB44AF">
              <w:rPr>
                <w:sz w:val="16"/>
                <w:szCs w:val="16"/>
              </w:rPr>
              <w:t>2026</w:t>
            </w:r>
            <w:r w:rsidRPr="00BB44AF">
              <w:rPr>
                <w:sz w:val="16"/>
                <w:szCs w:val="16"/>
              </w:rPr>
              <w:t xml:space="preserve"> Proposed Target</w:t>
            </w:r>
          </w:p>
        </w:tc>
      </w:tr>
      <w:tr w:rsidR="00775D87" w14:paraId="78AED896" w14:textId="77777777" w:rsidTr="00C76D53">
        <w:trPr>
          <w:cnfStyle w:val="000000100000" w:firstRow="0" w:lastRow="0" w:firstColumn="0" w:lastColumn="0" w:oddVBand="0" w:evenVBand="0" w:oddHBand="1" w:evenHBand="0" w:firstRowFirstColumn="0" w:firstRowLastColumn="0" w:lastRowFirstColumn="0" w:lastRowLastColumn="0"/>
          <w:cantSplit/>
          <w:trHeight w:val="432"/>
        </w:trPr>
        <w:tc>
          <w:tcPr>
            <w:cnfStyle w:val="001000000000" w:firstRow="0" w:lastRow="0" w:firstColumn="1" w:lastColumn="0" w:oddVBand="0" w:evenVBand="0" w:oddHBand="0" w:evenHBand="0" w:firstRowFirstColumn="0" w:firstRowLastColumn="0" w:lastRowFirstColumn="0" w:lastRowLastColumn="0"/>
            <w:tcW w:w="905" w:type="pct"/>
            <w:vAlign w:val="center"/>
          </w:tcPr>
          <w:p w14:paraId="35AF6D77" w14:textId="77777777" w:rsidR="00775D87" w:rsidRPr="00A448B6" w:rsidRDefault="00775D87" w:rsidP="00775D87">
            <w:pPr>
              <w:spacing w:after="0"/>
              <w:jc w:val="center"/>
              <w:rPr>
                <w:b w:val="0"/>
                <w:bCs w:val="0"/>
                <w:sz w:val="20"/>
                <w:szCs w:val="20"/>
              </w:rPr>
            </w:pPr>
            <w:r w:rsidRPr="00A448B6">
              <w:rPr>
                <w:b w:val="0"/>
                <w:bCs w:val="0"/>
                <w:sz w:val="20"/>
                <w:szCs w:val="20"/>
              </w:rPr>
              <w:t>14b: Percentage of youth with IEPs enrolled in higher education or competitively employed within one year of leaving high school</w:t>
            </w:r>
          </w:p>
        </w:tc>
        <w:tc>
          <w:tcPr>
            <w:tcW w:w="512" w:type="pct"/>
            <w:vAlign w:val="center"/>
          </w:tcPr>
          <w:p w14:paraId="26073F9B" w14:textId="6218992A" w:rsidR="00775D87" w:rsidRDefault="00775D87" w:rsidP="00C76D53">
            <w:pPr>
              <w:spacing w:after="0"/>
              <w:jc w:val="center"/>
              <w:cnfStyle w:val="000000100000" w:firstRow="0" w:lastRow="0" w:firstColumn="0" w:lastColumn="0" w:oddVBand="0" w:evenVBand="0" w:oddHBand="1" w:evenHBand="0" w:firstRowFirstColumn="0" w:firstRowLastColumn="0" w:lastRowFirstColumn="0" w:lastRowLastColumn="0"/>
            </w:pPr>
            <w:r>
              <w:t>62.70%</w:t>
            </w:r>
          </w:p>
        </w:tc>
        <w:tc>
          <w:tcPr>
            <w:tcW w:w="512" w:type="pct"/>
            <w:vAlign w:val="center"/>
          </w:tcPr>
          <w:p w14:paraId="7F1FDAD2" w14:textId="1EB6B806" w:rsidR="00775D87" w:rsidRDefault="00775D87" w:rsidP="00C76D53">
            <w:pPr>
              <w:spacing w:after="0"/>
              <w:jc w:val="center"/>
              <w:cnfStyle w:val="000000100000" w:firstRow="0" w:lastRow="0" w:firstColumn="0" w:lastColumn="0" w:oddVBand="0" w:evenVBand="0" w:oddHBand="1" w:evenHBand="0" w:firstRowFirstColumn="0" w:firstRowLastColumn="0" w:lastRowFirstColumn="0" w:lastRowLastColumn="0"/>
            </w:pPr>
            <w:r>
              <w:t>79.01%</w:t>
            </w:r>
          </w:p>
        </w:tc>
        <w:tc>
          <w:tcPr>
            <w:tcW w:w="512" w:type="pct"/>
            <w:vAlign w:val="center"/>
          </w:tcPr>
          <w:p w14:paraId="041AAF5E" w14:textId="3F8566EB" w:rsidR="00775D87" w:rsidRDefault="00775D87" w:rsidP="00C76D53">
            <w:pPr>
              <w:spacing w:after="0"/>
              <w:jc w:val="center"/>
              <w:cnfStyle w:val="000000100000" w:firstRow="0" w:lastRow="0" w:firstColumn="0" w:lastColumn="0" w:oddVBand="0" w:evenVBand="0" w:oddHBand="1" w:evenHBand="0" w:firstRowFirstColumn="0" w:firstRowLastColumn="0" w:lastRowFirstColumn="0" w:lastRowLastColumn="0"/>
            </w:pPr>
            <w:r>
              <w:t>79.01%</w:t>
            </w:r>
          </w:p>
        </w:tc>
        <w:tc>
          <w:tcPr>
            <w:tcW w:w="512" w:type="pct"/>
            <w:vAlign w:val="center"/>
          </w:tcPr>
          <w:p w14:paraId="0EC64D0B" w14:textId="14304B63" w:rsidR="00775D87" w:rsidRDefault="00775D87" w:rsidP="00C76D53">
            <w:pPr>
              <w:spacing w:after="0"/>
              <w:jc w:val="center"/>
              <w:cnfStyle w:val="000000100000" w:firstRow="0" w:lastRow="0" w:firstColumn="0" w:lastColumn="0" w:oddVBand="0" w:evenVBand="0" w:oddHBand="1" w:evenHBand="0" w:firstRowFirstColumn="0" w:firstRowLastColumn="0" w:lastRowFirstColumn="0" w:lastRowLastColumn="0"/>
            </w:pPr>
            <w:r w:rsidRPr="00EA47A9">
              <w:t>81.00%</w:t>
            </w:r>
          </w:p>
        </w:tc>
        <w:tc>
          <w:tcPr>
            <w:tcW w:w="512" w:type="pct"/>
            <w:vAlign w:val="center"/>
          </w:tcPr>
          <w:p w14:paraId="688652B2" w14:textId="021D18F3" w:rsidR="00775D87" w:rsidRDefault="00775D87" w:rsidP="00C76D53">
            <w:pPr>
              <w:spacing w:after="0"/>
              <w:jc w:val="center"/>
              <w:cnfStyle w:val="000000100000" w:firstRow="0" w:lastRow="0" w:firstColumn="0" w:lastColumn="0" w:oddVBand="0" w:evenVBand="0" w:oddHBand="1" w:evenHBand="0" w:firstRowFirstColumn="0" w:firstRowLastColumn="0" w:lastRowFirstColumn="0" w:lastRowLastColumn="0"/>
            </w:pPr>
            <w:r w:rsidRPr="00EA47A9">
              <w:t>83.00%</w:t>
            </w:r>
          </w:p>
        </w:tc>
        <w:tc>
          <w:tcPr>
            <w:tcW w:w="512" w:type="pct"/>
            <w:vAlign w:val="center"/>
          </w:tcPr>
          <w:p w14:paraId="041F5D3F" w14:textId="5132A68C" w:rsidR="00775D87" w:rsidRDefault="00775D87" w:rsidP="00C76D53">
            <w:pPr>
              <w:spacing w:after="0"/>
              <w:jc w:val="center"/>
              <w:cnfStyle w:val="000000100000" w:firstRow="0" w:lastRow="0" w:firstColumn="0" w:lastColumn="0" w:oddVBand="0" w:evenVBand="0" w:oddHBand="1" w:evenHBand="0" w:firstRowFirstColumn="0" w:firstRowLastColumn="0" w:lastRowFirstColumn="0" w:lastRowLastColumn="0"/>
            </w:pPr>
            <w:r w:rsidRPr="00EA47A9">
              <w:t>85.00%</w:t>
            </w:r>
          </w:p>
        </w:tc>
        <w:tc>
          <w:tcPr>
            <w:tcW w:w="512" w:type="pct"/>
            <w:vAlign w:val="center"/>
          </w:tcPr>
          <w:p w14:paraId="4248E08D" w14:textId="7B6CDC7F" w:rsidR="00775D87" w:rsidRDefault="00775D87" w:rsidP="00C76D53">
            <w:pPr>
              <w:spacing w:after="0"/>
              <w:jc w:val="center"/>
              <w:cnfStyle w:val="000000100000" w:firstRow="0" w:lastRow="0" w:firstColumn="0" w:lastColumn="0" w:oddVBand="0" w:evenVBand="0" w:oddHBand="1" w:evenHBand="0" w:firstRowFirstColumn="0" w:firstRowLastColumn="0" w:lastRowFirstColumn="0" w:lastRowLastColumn="0"/>
            </w:pPr>
            <w:r w:rsidRPr="00EA47A9">
              <w:t>87.00%</w:t>
            </w:r>
          </w:p>
        </w:tc>
        <w:tc>
          <w:tcPr>
            <w:tcW w:w="512" w:type="pct"/>
            <w:vAlign w:val="center"/>
          </w:tcPr>
          <w:p w14:paraId="00DB5093" w14:textId="22C014B2" w:rsidR="00775D87" w:rsidRDefault="00775D87" w:rsidP="00C76D53">
            <w:pPr>
              <w:spacing w:after="0"/>
              <w:jc w:val="center"/>
              <w:cnfStyle w:val="000000100000" w:firstRow="0" w:lastRow="0" w:firstColumn="0" w:lastColumn="0" w:oddVBand="0" w:evenVBand="0" w:oddHBand="1" w:evenHBand="0" w:firstRowFirstColumn="0" w:firstRowLastColumn="0" w:lastRowFirstColumn="0" w:lastRowLastColumn="0"/>
            </w:pPr>
            <w:r w:rsidRPr="00EA47A9">
              <w:t>89.00%</w:t>
            </w:r>
          </w:p>
        </w:tc>
      </w:tr>
    </w:tbl>
    <w:p w14:paraId="4E26168A" w14:textId="1D18C883" w:rsidR="00864206" w:rsidRDefault="00864206" w:rsidP="00864206">
      <w:pPr>
        <w:pStyle w:val="Heading3"/>
      </w:pPr>
      <w:r w:rsidRPr="00CF4E24">
        <w:rPr>
          <w:rFonts w:eastAsiaTheme="minorHAnsi"/>
        </w:rPr>
        <w:t xml:space="preserve">Option </w:t>
      </w:r>
      <w:r>
        <w:rPr>
          <w:rFonts w:eastAsiaTheme="minorHAnsi"/>
        </w:rPr>
        <w:t>B</w:t>
      </w:r>
      <w:r w:rsidRPr="00CF4E24">
        <w:rPr>
          <w:rFonts w:eastAsiaTheme="minorHAnsi"/>
        </w:rPr>
        <w:t xml:space="preserve"> Rationale</w:t>
      </w:r>
      <w:r w:rsidR="00700486">
        <w:rPr>
          <w:rFonts w:eastAsiaTheme="minorHAnsi"/>
        </w:rPr>
        <w:t xml:space="preserve"> – Indicator </w:t>
      </w:r>
      <w:r w:rsidR="00700486" w:rsidRPr="003A46D0">
        <w:t>14b</w:t>
      </w:r>
    </w:p>
    <w:p w14:paraId="20833017" w14:textId="77777777" w:rsidR="00775D87" w:rsidRPr="00775D87" w:rsidRDefault="00775D87" w:rsidP="00775D87">
      <w:pPr>
        <w:pStyle w:val="ListParagraph"/>
        <w:numPr>
          <w:ilvl w:val="0"/>
          <w:numId w:val="39"/>
        </w:numPr>
        <w:spacing w:before="120"/>
        <w:contextualSpacing w:val="0"/>
        <w:rPr>
          <w:rFonts w:cstheme="minorHAnsi"/>
        </w:rPr>
      </w:pPr>
      <w:r w:rsidRPr="00775D87">
        <w:rPr>
          <w:rFonts w:cstheme="minorHAnsi"/>
        </w:rPr>
        <w:t>Option B is a more rigorous option in comparison to Option A.</w:t>
      </w:r>
    </w:p>
    <w:p w14:paraId="63D898FA" w14:textId="44744247" w:rsidR="00775D87" w:rsidRPr="00775D87" w:rsidRDefault="00775D87" w:rsidP="00775D87">
      <w:pPr>
        <w:pStyle w:val="ListParagraph"/>
        <w:numPr>
          <w:ilvl w:val="0"/>
          <w:numId w:val="39"/>
        </w:numPr>
        <w:spacing w:before="120"/>
        <w:contextualSpacing w:val="0"/>
        <w:rPr>
          <w:rFonts w:cstheme="minorHAnsi"/>
        </w:rPr>
      </w:pPr>
      <w:r w:rsidRPr="00775D87">
        <w:rPr>
          <w:rFonts w:cstheme="minorHAnsi"/>
        </w:rPr>
        <w:t>The targets for the 2025-</w:t>
      </w:r>
      <w:r w:rsidR="005707BB">
        <w:rPr>
          <w:rFonts w:cstheme="minorHAnsi"/>
        </w:rPr>
        <w:t>20</w:t>
      </w:r>
      <w:r w:rsidRPr="00775D87">
        <w:rPr>
          <w:rFonts w:cstheme="minorHAnsi"/>
        </w:rPr>
        <w:t>26 year would be the highest targets ever set for indicator 14.</w:t>
      </w:r>
    </w:p>
    <w:p w14:paraId="7C10B294" w14:textId="3BF4F65D" w:rsidR="00775D87" w:rsidRPr="00775D87" w:rsidRDefault="00775D87" w:rsidP="00775D87">
      <w:pPr>
        <w:pStyle w:val="ListParagraph"/>
        <w:numPr>
          <w:ilvl w:val="0"/>
          <w:numId w:val="39"/>
        </w:numPr>
        <w:spacing w:before="120"/>
        <w:contextualSpacing w:val="0"/>
        <w:rPr>
          <w:rFonts w:cstheme="minorHAnsi"/>
        </w:rPr>
      </w:pPr>
      <w:r w:rsidRPr="00775D87">
        <w:rPr>
          <w:rFonts w:cstheme="minorHAnsi"/>
        </w:rPr>
        <w:t>With the strategies, initiatives and legislation described under the Programmatic Considerations on p</w:t>
      </w:r>
      <w:r w:rsidR="005707BB">
        <w:rPr>
          <w:rFonts w:cstheme="minorHAnsi"/>
        </w:rPr>
        <w:t>ages</w:t>
      </w:r>
      <w:r w:rsidR="003856B9">
        <w:rPr>
          <w:rFonts w:cstheme="minorHAnsi"/>
        </w:rPr>
        <w:t xml:space="preserve"> </w:t>
      </w:r>
      <w:r w:rsidRPr="00775D87">
        <w:rPr>
          <w:rFonts w:cstheme="minorHAnsi"/>
        </w:rPr>
        <w:t xml:space="preserve">9-10, the </w:t>
      </w:r>
      <w:r w:rsidR="005707BB">
        <w:rPr>
          <w:rFonts w:cstheme="minorHAnsi"/>
        </w:rPr>
        <w:t xml:space="preserve">Ohio </w:t>
      </w:r>
      <w:r w:rsidRPr="00775D87">
        <w:rPr>
          <w:rFonts w:cstheme="minorHAnsi"/>
        </w:rPr>
        <w:t>Department</w:t>
      </w:r>
      <w:r w:rsidR="005707BB">
        <w:rPr>
          <w:rFonts w:cstheme="minorHAnsi"/>
        </w:rPr>
        <w:t xml:space="preserve"> of Education</w:t>
      </w:r>
      <w:r w:rsidRPr="00775D87">
        <w:rPr>
          <w:rFonts w:cstheme="minorHAnsi"/>
        </w:rPr>
        <w:t xml:space="preserve"> expects consistent growth over the course of the upcoming target years.</w:t>
      </w:r>
    </w:p>
    <w:p w14:paraId="5AD10A40" w14:textId="496C1F4D" w:rsidR="00775D87" w:rsidRPr="00775D87" w:rsidRDefault="00775D87" w:rsidP="00775D87">
      <w:pPr>
        <w:pStyle w:val="ListParagraph"/>
        <w:numPr>
          <w:ilvl w:val="0"/>
          <w:numId w:val="39"/>
        </w:numPr>
        <w:spacing w:before="120"/>
        <w:contextualSpacing w:val="0"/>
        <w:rPr>
          <w:rFonts w:cstheme="minorHAnsi"/>
        </w:rPr>
      </w:pPr>
      <w:r w:rsidRPr="00775D87">
        <w:rPr>
          <w:rStyle w:val="normaltextrun"/>
          <w:rFonts w:cs="Arial"/>
          <w:color w:val="000000"/>
        </w:rPr>
        <w:t>In comparison to Ohio’s 2019-</w:t>
      </w:r>
      <w:r w:rsidR="005707BB">
        <w:rPr>
          <w:rStyle w:val="normaltextrun"/>
          <w:rFonts w:cs="Arial"/>
          <w:color w:val="000000"/>
        </w:rPr>
        <w:t>20</w:t>
      </w:r>
      <w:r w:rsidRPr="00775D87">
        <w:rPr>
          <w:rStyle w:val="normaltextrun"/>
          <w:rFonts w:cs="Arial"/>
          <w:color w:val="000000"/>
        </w:rPr>
        <w:t>20 performance, m</w:t>
      </w:r>
      <w:r w:rsidRPr="00775D87">
        <w:rPr>
          <w:rFonts w:cs="Arial"/>
        </w:rPr>
        <w:t>eeting the final target of</w:t>
      </w:r>
      <w:r w:rsidRPr="00775D87">
        <w:rPr>
          <w:rFonts w:cstheme="minorHAnsi"/>
        </w:rPr>
        <w:t xml:space="preserve"> 89% by 2025-</w:t>
      </w:r>
      <w:r w:rsidR="005707BB">
        <w:rPr>
          <w:rFonts w:cstheme="minorHAnsi"/>
        </w:rPr>
        <w:t>20</w:t>
      </w:r>
      <w:r w:rsidRPr="00775D87">
        <w:rPr>
          <w:rFonts w:cstheme="minorHAnsi"/>
        </w:rPr>
        <w:t xml:space="preserve">26 will require </w:t>
      </w:r>
      <w:r w:rsidRPr="003856B9">
        <w:rPr>
          <w:rFonts w:cstheme="minorHAnsi"/>
          <w:b/>
          <w:bCs/>
        </w:rPr>
        <w:t>105</w:t>
      </w:r>
      <w:r w:rsidRPr="00775D87">
        <w:rPr>
          <w:rFonts w:cstheme="minorHAnsi"/>
        </w:rPr>
        <w:t xml:space="preserve"> more students with </w:t>
      </w:r>
      <w:r w:rsidRPr="00285A8A">
        <w:t xml:space="preserve">disabilities </w:t>
      </w:r>
      <w:r>
        <w:t>within the survey sample</w:t>
      </w:r>
      <w:r w:rsidRPr="00285A8A">
        <w:t xml:space="preserve"> to enroll in higher education or be competitively employed within one year of leaving high school</w:t>
      </w:r>
      <w:r>
        <w:t>.</w:t>
      </w:r>
    </w:p>
    <w:p w14:paraId="4D1CEF0F" w14:textId="77777777" w:rsidR="00571D36" w:rsidRDefault="00571D36">
      <w:pPr>
        <w:spacing w:after="0"/>
      </w:pPr>
      <w:r>
        <w:br w:type="page"/>
      </w:r>
    </w:p>
    <w:p w14:paraId="7D6EFFD4" w14:textId="3E1003C6" w:rsidR="008B1595" w:rsidRDefault="008B1595" w:rsidP="008B1595">
      <w:pPr>
        <w:pStyle w:val="Heading2"/>
      </w:pPr>
      <w:r>
        <w:lastRenderedPageBreak/>
        <w:t>How has Ohio performed over time on indicator 14c?</w:t>
      </w:r>
    </w:p>
    <w:p w14:paraId="58149CFE" w14:textId="24972E54" w:rsidR="00C27FBB" w:rsidRDefault="0040591F" w:rsidP="00C27FBB">
      <w:pPr>
        <w:keepNext/>
        <w:jc w:val="center"/>
      </w:pPr>
      <w:r>
        <w:rPr>
          <w:noProof/>
        </w:rPr>
        <w:drawing>
          <wp:inline distT="0" distB="0" distL="0" distR="0" wp14:anchorId="56D90BAE" wp14:editId="1659AC9B">
            <wp:extent cx="6400800" cy="2743200"/>
            <wp:effectExtent l="0" t="0" r="0" b="0"/>
            <wp:docPr id="10" name="Chart 10" descr="Line graph showing Ohio's performance on indicator 14c over six years.">
              <a:extLst xmlns:a="http://schemas.openxmlformats.org/drawingml/2006/main">
                <a:ext uri="{FF2B5EF4-FFF2-40B4-BE49-F238E27FC236}">
                  <a16:creationId xmlns:a16="http://schemas.microsoft.com/office/drawing/2014/main" id="{29D4783B-4476-490E-A9C1-2C40F88F935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3E27882" w14:textId="2A5E9F07" w:rsidR="00B641CB" w:rsidRPr="00C27FBB" w:rsidRDefault="00C27FBB" w:rsidP="00C27FBB">
      <w:pPr>
        <w:pStyle w:val="Caption"/>
      </w:pPr>
      <w:r w:rsidRPr="00C27FBB">
        <w:t xml:space="preserve">Figure </w:t>
      </w:r>
      <w:r>
        <w:fldChar w:fldCharType="begin"/>
      </w:r>
      <w:r>
        <w:instrText>SEQ Figure \* ARABIC</w:instrText>
      </w:r>
      <w:r>
        <w:fldChar w:fldCharType="separate"/>
      </w:r>
      <w:r w:rsidR="005152AA">
        <w:rPr>
          <w:noProof/>
        </w:rPr>
        <w:t>5</w:t>
      </w:r>
      <w:r>
        <w:fldChar w:fldCharType="end"/>
      </w:r>
      <w:r w:rsidRPr="00C27FBB">
        <w:t xml:space="preserve">. Ohio’s percentage of </w:t>
      </w:r>
      <w:r>
        <w:t>students</w:t>
      </w:r>
      <w:r w:rsidRPr="00C27FBB">
        <w:t xml:space="preserve"> with disabilities enrolled in higher education or in some other postsecondary education or training program or competitively employed or in some other employment within one year of leaving high school increased from 81.87%</w:t>
      </w:r>
      <w:r w:rsidR="002721D1">
        <w:t xml:space="preserve"> in 2014-</w:t>
      </w:r>
      <w:r w:rsidR="00F45C37">
        <w:t>20</w:t>
      </w:r>
      <w:r w:rsidR="002721D1">
        <w:t>15</w:t>
      </w:r>
      <w:r w:rsidRPr="00C27FBB">
        <w:t xml:space="preserve"> to </w:t>
      </w:r>
      <w:r w:rsidR="002721D1">
        <w:t>86.35</w:t>
      </w:r>
      <w:r w:rsidRPr="00C27FBB">
        <w:t xml:space="preserve">% </w:t>
      </w:r>
      <w:r w:rsidR="002721D1">
        <w:t>in 2019-</w:t>
      </w:r>
      <w:r w:rsidR="00F45C37">
        <w:t>20</w:t>
      </w:r>
      <w:r w:rsidR="002721D1">
        <w:t>20</w:t>
      </w:r>
      <w:r w:rsidRPr="00C27FBB">
        <w:t>.</w:t>
      </w:r>
    </w:p>
    <w:p w14:paraId="1E463EA0" w14:textId="673D5CE2" w:rsidR="00653576" w:rsidRPr="002721D1" w:rsidRDefault="00653576" w:rsidP="002721D1">
      <w:pPr>
        <w:pStyle w:val="Caption"/>
      </w:pPr>
      <w:r w:rsidRPr="002721D1">
        <w:t xml:space="preserve">Table </w:t>
      </w:r>
      <w:r>
        <w:fldChar w:fldCharType="begin"/>
      </w:r>
      <w:r>
        <w:instrText>SEQ Table \* ARABIC</w:instrText>
      </w:r>
      <w:r>
        <w:fldChar w:fldCharType="separate"/>
      </w:r>
      <w:r w:rsidR="003856B9">
        <w:rPr>
          <w:noProof/>
        </w:rPr>
        <w:t>9</w:t>
      </w:r>
      <w:r>
        <w:fldChar w:fldCharType="end"/>
      </w:r>
      <w:r w:rsidRPr="002721D1">
        <w:t xml:space="preserve">. </w:t>
      </w:r>
      <w:r w:rsidR="002721D1" w:rsidRPr="002721D1">
        <w:t>Number of students with disabilities enrolled in higher education or in some other postsecondary education or training program or competitively employed or in some other employment within one year of leaving high school, number of respondent youth with disabilities, percentage and change in percentage from 2014-</w:t>
      </w:r>
      <w:r w:rsidR="00C85E37">
        <w:t>20</w:t>
      </w:r>
      <w:r w:rsidR="002721D1" w:rsidRPr="002721D1">
        <w:t>15 to 2019-</w:t>
      </w:r>
      <w:r w:rsidR="00C85E37">
        <w:t>20</w:t>
      </w:r>
      <w:r w:rsidR="002721D1" w:rsidRPr="002721D1">
        <w:t>20.</w:t>
      </w:r>
    </w:p>
    <w:tbl>
      <w:tblPr>
        <w:tblStyle w:val="PlainTable1"/>
        <w:tblW w:w="0" w:type="auto"/>
        <w:tblLayout w:type="fixed"/>
        <w:tblLook w:val="04A0" w:firstRow="1" w:lastRow="0" w:firstColumn="1" w:lastColumn="0" w:noHBand="0" w:noVBand="1"/>
        <w:tblCaption w:val="Ind 14c Higher Ed, Postsecondary Training, Employed"/>
        <w:tblDescription w:val="Number of students with disabilities enrolled in higher education or in some other postsecondary education or training program; or competitively employed or in some other employment within one year of leaving high school, number of respondent youth with disabilities, percentage, and change in percentage from 2014-15 to 2019-20."/>
      </w:tblPr>
      <w:tblGrid>
        <w:gridCol w:w="4225"/>
        <w:gridCol w:w="1094"/>
        <w:gridCol w:w="1094"/>
        <w:gridCol w:w="1094"/>
        <w:gridCol w:w="1094"/>
        <w:gridCol w:w="1094"/>
        <w:gridCol w:w="1095"/>
      </w:tblGrid>
      <w:tr w:rsidR="002721D1" w:rsidRPr="0017698D" w14:paraId="04C3E439" w14:textId="77777777" w:rsidTr="002721D1">
        <w:trPr>
          <w:cnfStyle w:val="100000000000" w:firstRow="1" w:lastRow="0" w:firstColumn="0" w:lastColumn="0" w:oddVBand="0" w:evenVBand="0" w:oddHBand="0" w:evenHBand="0" w:firstRowFirstColumn="0" w:firstRowLastColumn="0" w:lastRowFirstColumn="0" w:lastRowLastColumn="0"/>
          <w:cantSplit/>
          <w:trHeight w:val="290"/>
          <w:tblHeader/>
        </w:trPr>
        <w:tc>
          <w:tcPr>
            <w:cnfStyle w:val="001000000000" w:firstRow="0" w:lastRow="0" w:firstColumn="1" w:lastColumn="0" w:oddVBand="0" w:evenVBand="0" w:oddHBand="0" w:evenHBand="0" w:firstRowFirstColumn="0" w:firstRowLastColumn="0" w:lastRowFirstColumn="0" w:lastRowLastColumn="0"/>
            <w:tcW w:w="4225" w:type="dxa"/>
            <w:noWrap/>
            <w:hideMark/>
          </w:tcPr>
          <w:p w14:paraId="385A5628" w14:textId="1DAF63D3" w:rsidR="0017698D" w:rsidRPr="0017698D" w:rsidRDefault="00FA4539" w:rsidP="0017698D">
            <w:pPr>
              <w:spacing w:after="0"/>
              <w:jc w:val="center"/>
              <w:rPr>
                <w:rFonts w:eastAsia="Times New Roman" w:cs="Arial"/>
                <w:b w:val="0"/>
                <w:bCs w:val="0"/>
                <w:color w:val="000000"/>
              </w:rPr>
            </w:pPr>
            <w:bookmarkStart w:id="10" w:name="Title_14c_Higher_Ed_Comp_Emp_Other"/>
            <w:bookmarkEnd w:id="10"/>
            <w:r>
              <w:rPr>
                <w:rFonts w:eastAsia="Times New Roman" w:cs="Arial"/>
                <w:color w:val="000000"/>
              </w:rPr>
              <w:t xml:space="preserve">Indicator </w:t>
            </w:r>
            <w:r w:rsidR="0017698D" w:rsidRPr="0017698D">
              <w:rPr>
                <w:rFonts w:eastAsia="Times New Roman" w:cs="Arial"/>
                <w:color w:val="000000"/>
              </w:rPr>
              <w:t>14c</w:t>
            </w:r>
          </w:p>
        </w:tc>
        <w:tc>
          <w:tcPr>
            <w:tcW w:w="1094" w:type="dxa"/>
            <w:hideMark/>
          </w:tcPr>
          <w:p w14:paraId="7CA7FE17" w14:textId="70705F73" w:rsidR="0017698D" w:rsidRPr="0017698D" w:rsidRDefault="00FE1804" w:rsidP="0017698D">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000000"/>
              </w:rPr>
            </w:pPr>
            <w:r>
              <w:rPr>
                <w:rFonts w:eastAsia="Times New Roman" w:cs="Arial"/>
                <w:color w:val="000000"/>
              </w:rPr>
              <w:t>20</w:t>
            </w:r>
            <w:r w:rsidR="0017698D" w:rsidRPr="0017698D">
              <w:rPr>
                <w:rFonts w:eastAsia="Times New Roman" w:cs="Arial"/>
                <w:color w:val="000000"/>
              </w:rPr>
              <w:t>14-15</w:t>
            </w:r>
          </w:p>
        </w:tc>
        <w:tc>
          <w:tcPr>
            <w:tcW w:w="1094" w:type="dxa"/>
            <w:hideMark/>
          </w:tcPr>
          <w:p w14:paraId="53CBB616" w14:textId="10EE9947" w:rsidR="0017698D" w:rsidRPr="0017698D" w:rsidRDefault="00FE1804" w:rsidP="0017698D">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000000"/>
              </w:rPr>
            </w:pPr>
            <w:r>
              <w:rPr>
                <w:rFonts w:eastAsia="Times New Roman" w:cs="Arial"/>
                <w:color w:val="000000"/>
              </w:rPr>
              <w:t>20</w:t>
            </w:r>
            <w:r w:rsidR="0017698D" w:rsidRPr="0017698D">
              <w:rPr>
                <w:rFonts w:eastAsia="Times New Roman" w:cs="Arial"/>
                <w:color w:val="000000"/>
              </w:rPr>
              <w:t>15-16</w:t>
            </w:r>
          </w:p>
        </w:tc>
        <w:tc>
          <w:tcPr>
            <w:tcW w:w="1094" w:type="dxa"/>
            <w:hideMark/>
          </w:tcPr>
          <w:p w14:paraId="49153C0A" w14:textId="022E8B99" w:rsidR="0017698D" w:rsidRPr="0017698D" w:rsidRDefault="00FE1804" w:rsidP="0017698D">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000000"/>
              </w:rPr>
            </w:pPr>
            <w:r>
              <w:rPr>
                <w:rFonts w:eastAsia="Times New Roman" w:cs="Arial"/>
                <w:color w:val="000000"/>
              </w:rPr>
              <w:t>20</w:t>
            </w:r>
            <w:r w:rsidR="0017698D" w:rsidRPr="0017698D">
              <w:rPr>
                <w:rFonts w:eastAsia="Times New Roman" w:cs="Arial"/>
                <w:color w:val="000000"/>
              </w:rPr>
              <w:t>16-17</w:t>
            </w:r>
          </w:p>
        </w:tc>
        <w:tc>
          <w:tcPr>
            <w:tcW w:w="1094" w:type="dxa"/>
            <w:hideMark/>
          </w:tcPr>
          <w:p w14:paraId="4EAD2180" w14:textId="073C2635" w:rsidR="0017698D" w:rsidRPr="0017698D" w:rsidRDefault="00FE1804" w:rsidP="0017698D">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000000"/>
              </w:rPr>
            </w:pPr>
            <w:r>
              <w:rPr>
                <w:rFonts w:eastAsia="Times New Roman" w:cs="Arial"/>
                <w:color w:val="000000"/>
              </w:rPr>
              <w:t>20</w:t>
            </w:r>
            <w:r w:rsidR="0017698D" w:rsidRPr="0017698D">
              <w:rPr>
                <w:rFonts w:eastAsia="Times New Roman" w:cs="Arial"/>
                <w:color w:val="000000"/>
              </w:rPr>
              <w:t>17-18</w:t>
            </w:r>
          </w:p>
        </w:tc>
        <w:tc>
          <w:tcPr>
            <w:tcW w:w="1094" w:type="dxa"/>
            <w:hideMark/>
          </w:tcPr>
          <w:p w14:paraId="62EB0B7B" w14:textId="72D7FB23" w:rsidR="0017698D" w:rsidRPr="0017698D" w:rsidRDefault="00FE1804" w:rsidP="0017698D">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000000"/>
              </w:rPr>
            </w:pPr>
            <w:r>
              <w:rPr>
                <w:rFonts w:eastAsia="Times New Roman" w:cs="Arial"/>
                <w:color w:val="000000"/>
              </w:rPr>
              <w:t>20</w:t>
            </w:r>
            <w:r w:rsidR="0017698D" w:rsidRPr="0017698D">
              <w:rPr>
                <w:rFonts w:eastAsia="Times New Roman" w:cs="Arial"/>
                <w:color w:val="000000"/>
              </w:rPr>
              <w:t>18-19</w:t>
            </w:r>
          </w:p>
        </w:tc>
        <w:tc>
          <w:tcPr>
            <w:tcW w:w="1095" w:type="dxa"/>
            <w:hideMark/>
          </w:tcPr>
          <w:p w14:paraId="6E2461AC" w14:textId="08B43B78" w:rsidR="0017698D" w:rsidRPr="0017698D" w:rsidRDefault="00FE1804" w:rsidP="0017698D">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000000"/>
              </w:rPr>
            </w:pPr>
            <w:r>
              <w:rPr>
                <w:rFonts w:eastAsia="Times New Roman" w:cs="Arial"/>
                <w:color w:val="000000"/>
              </w:rPr>
              <w:t>20</w:t>
            </w:r>
            <w:r w:rsidR="0017698D" w:rsidRPr="0017698D">
              <w:rPr>
                <w:rFonts w:eastAsia="Times New Roman" w:cs="Arial"/>
                <w:color w:val="000000"/>
              </w:rPr>
              <w:t>19-20</w:t>
            </w:r>
          </w:p>
        </w:tc>
      </w:tr>
      <w:tr w:rsidR="0017698D" w:rsidRPr="0017698D" w14:paraId="3B443FF3" w14:textId="77777777" w:rsidTr="00C76D53">
        <w:trPr>
          <w:cnfStyle w:val="000000100000" w:firstRow="0" w:lastRow="0" w:firstColumn="0" w:lastColumn="0" w:oddVBand="0" w:evenVBand="0" w:oddHBand="1" w:evenHBand="0" w:firstRowFirstColumn="0" w:firstRowLastColumn="0" w:lastRowFirstColumn="0" w:lastRowLastColumn="0"/>
          <w:cantSplit/>
          <w:trHeight w:val="290"/>
        </w:trPr>
        <w:tc>
          <w:tcPr>
            <w:cnfStyle w:val="001000000000" w:firstRow="0" w:lastRow="0" w:firstColumn="1" w:lastColumn="0" w:oddVBand="0" w:evenVBand="0" w:oddHBand="0" w:evenHBand="0" w:firstRowFirstColumn="0" w:firstRowLastColumn="0" w:lastRowFirstColumn="0" w:lastRowLastColumn="0"/>
            <w:tcW w:w="4225" w:type="dxa"/>
            <w:noWrap/>
            <w:hideMark/>
          </w:tcPr>
          <w:p w14:paraId="6A16FF00" w14:textId="38213D7E" w:rsidR="0017698D" w:rsidRPr="002721D1" w:rsidRDefault="002721D1" w:rsidP="0017698D">
            <w:pPr>
              <w:spacing w:after="0"/>
              <w:rPr>
                <w:rFonts w:eastAsia="Times New Roman" w:cs="Arial"/>
                <w:b w:val="0"/>
                <w:bCs w:val="0"/>
                <w:color w:val="000000"/>
              </w:rPr>
            </w:pPr>
            <w:r w:rsidRPr="002721D1">
              <w:rPr>
                <w:b w:val="0"/>
                <w:bCs w:val="0"/>
              </w:rPr>
              <w:t xml:space="preserve">Number of </w:t>
            </w:r>
            <w:r w:rsidR="00524B8D">
              <w:rPr>
                <w:rFonts w:eastAsia="Times New Roman" w:cs="Arial"/>
                <w:b w:val="0"/>
                <w:bCs w:val="0"/>
                <w:color w:val="000000"/>
              </w:rPr>
              <w:t>students with disabilities</w:t>
            </w:r>
            <w:r w:rsidRPr="002721D1">
              <w:rPr>
                <w:b w:val="0"/>
                <w:bCs w:val="0"/>
              </w:rPr>
              <w:t xml:space="preserve"> enrolled in higher education or in some other postsecondary education or training program</w:t>
            </w:r>
            <w:r>
              <w:rPr>
                <w:b w:val="0"/>
                <w:bCs w:val="0"/>
              </w:rPr>
              <w:t xml:space="preserve"> or competitively employed or in some other employment within one year of leaving high school</w:t>
            </w:r>
          </w:p>
        </w:tc>
        <w:tc>
          <w:tcPr>
            <w:tcW w:w="1094" w:type="dxa"/>
            <w:vAlign w:val="center"/>
            <w:hideMark/>
          </w:tcPr>
          <w:p w14:paraId="0F4187DB" w14:textId="77777777" w:rsidR="0017698D" w:rsidRPr="0017698D" w:rsidRDefault="0017698D" w:rsidP="00C76D53">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17698D">
              <w:rPr>
                <w:rFonts w:eastAsia="Times New Roman" w:cs="Arial"/>
                <w:color w:val="000000"/>
              </w:rPr>
              <w:t>903</w:t>
            </w:r>
          </w:p>
        </w:tc>
        <w:tc>
          <w:tcPr>
            <w:tcW w:w="1094" w:type="dxa"/>
            <w:vAlign w:val="center"/>
            <w:hideMark/>
          </w:tcPr>
          <w:p w14:paraId="6005A2C4" w14:textId="77777777" w:rsidR="0017698D" w:rsidRPr="0017698D" w:rsidRDefault="0017698D" w:rsidP="00C76D53">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17698D">
              <w:rPr>
                <w:rFonts w:eastAsia="Times New Roman" w:cs="Arial"/>
                <w:color w:val="000000"/>
              </w:rPr>
              <w:t>926</w:t>
            </w:r>
          </w:p>
        </w:tc>
        <w:tc>
          <w:tcPr>
            <w:tcW w:w="1094" w:type="dxa"/>
            <w:vAlign w:val="center"/>
            <w:hideMark/>
          </w:tcPr>
          <w:p w14:paraId="53421A9C" w14:textId="77777777" w:rsidR="0017698D" w:rsidRPr="0017698D" w:rsidRDefault="0017698D" w:rsidP="00C76D53">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17698D">
              <w:rPr>
                <w:rFonts w:eastAsia="Times New Roman" w:cs="Arial"/>
                <w:color w:val="000000"/>
              </w:rPr>
              <w:t>811</w:t>
            </w:r>
          </w:p>
        </w:tc>
        <w:tc>
          <w:tcPr>
            <w:tcW w:w="1094" w:type="dxa"/>
            <w:vAlign w:val="center"/>
            <w:hideMark/>
          </w:tcPr>
          <w:p w14:paraId="2A03B19C" w14:textId="77777777" w:rsidR="0017698D" w:rsidRPr="0017698D" w:rsidRDefault="0017698D" w:rsidP="00C76D53">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17698D">
              <w:rPr>
                <w:rFonts w:eastAsia="Times New Roman" w:cs="Arial"/>
                <w:color w:val="000000"/>
              </w:rPr>
              <w:t>1,132</w:t>
            </w:r>
          </w:p>
        </w:tc>
        <w:tc>
          <w:tcPr>
            <w:tcW w:w="1094" w:type="dxa"/>
            <w:vAlign w:val="center"/>
            <w:hideMark/>
          </w:tcPr>
          <w:p w14:paraId="6AC16677" w14:textId="77777777" w:rsidR="0017698D" w:rsidRPr="0017698D" w:rsidRDefault="0017698D" w:rsidP="00C76D53">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17698D">
              <w:rPr>
                <w:rFonts w:eastAsia="Times New Roman" w:cs="Arial"/>
                <w:color w:val="000000"/>
              </w:rPr>
              <w:t>1,211</w:t>
            </w:r>
          </w:p>
        </w:tc>
        <w:tc>
          <w:tcPr>
            <w:tcW w:w="1095" w:type="dxa"/>
            <w:vAlign w:val="center"/>
            <w:hideMark/>
          </w:tcPr>
          <w:p w14:paraId="1884D74C" w14:textId="77777777" w:rsidR="0017698D" w:rsidRPr="0017698D" w:rsidRDefault="0017698D" w:rsidP="00C76D53">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17698D">
              <w:rPr>
                <w:rFonts w:eastAsia="Times New Roman" w:cs="Arial"/>
                <w:color w:val="000000"/>
              </w:rPr>
              <w:t>905</w:t>
            </w:r>
          </w:p>
        </w:tc>
      </w:tr>
      <w:tr w:rsidR="002721D1" w:rsidRPr="0017698D" w14:paraId="6CF8E4DB" w14:textId="77777777" w:rsidTr="00C76D53">
        <w:trPr>
          <w:cantSplit/>
          <w:trHeight w:val="290"/>
        </w:trPr>
        <w:tc>
          <w:tcPr>
            <w:cnfStyle w:val="001000000000" w:firstRow="0" w:lastRow="0" w:firstColumn="1" w:lastColumn="0" w:oddVBand="0" w:evenVBand="0" w:oddHBand="0" w:evenHBand="0" w:firstRowFirstColumn="0" w:firstRowLastColumn="0" w:lastRowFirstColumn="0" w:lastRowLastColumn="0"/>
            <w:tcW w:w="4225" w:type="dxa"/>
            <w:noWrap/>
            <w:hideMark/>
          </w:tcPr>
          <w:p w14:paraId="44560FBD" w14:textId="5BB6FDBE" w:rsidR="002721D1" w:rsidRPr="002721D1" w:rsidRDefault="002721D1" w:rsidP="002721D1">
            <w:pPr>
              <w:spacing w:after="0"/>
              <w:rPr>
                <w:rFonts w:eastAsia="Times New Roman" w:cs="Arial"/>
                <w:b w:val="0"/>
                <w:bCs w:val="0"/>
                <w:color w:val="000000"/>
              </w:rPr>
            </w:pPr>
            <w:r>
              <w:rPr>
                <w:rFonts w:eastAsia="Times New Roman" w:cs="Arial"/>
                <w:b w:val="0"/>
                <w:bCs w:val="0"/>
                <w:color w:val="000000"/>
              </w:rPr>
              <w:t xml:space="preserve">Number of respondent </w:t>
            </w:r>
            <w:r w:rsidR="00524B8D">
              <w:rPr>
                <w:rFonts w:eastAsia="Times New Roman" w:cs="Arial"/>
                <w:b w:val="0"/>
                <w:bCs w:val="0"/>
                <w:color w:val="000000"/>
              </w:rPr>
              <w:t>students with disabilities</w:t>
            </w:r>
            <w:r>
              <w:rPr>
                <w:rFonts w:eastAsia="Times New Roman" w:cs="Arial"/>
                <w:b w:val="0"/>
                <w:bCs w:val="0"/>
                <w:color w:val="000000"/>
              </w:rPr>
              <w:t xml:space="preserve"> no longer in secondary school</w:t>
            </w:r>
          </w:p>
        </w:tc>
        <w:tc>
          <w:tcPr>
            <w:tcW w:w="1094" w:type="dxa"/>
            <w:vAlign w:val="center"/>
            <w:hideMark/>
          </w:tcPr>
          <w:p w14:paraId="34A6A3EC" w14:textId="77777777" w:rsidR="002721D1" w:rsidRPr="0017698D" w:rsidRDefault="002721D1" w:rsidP="00C76D5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17698D">
              <w:rPr>
                <w:rFonts w:eastAsia="Times New Roman" w:cs="Arial"/>
                <w:color w:val="000000"/>
              </w:rPr>
              <w:t>1,103</w:t>
            </w:r>
          </w:p>
        </w:tc>
        <w:tc>
          <w:tcPr>
            <w:tcW w:w="1094" w:type="dxa"/>
            <w:vAlign w:val="center"/>
            <w:hideMark/>
          </w:tcPr>
          <w:p w14:paraId="77EB5B8A" w14:textId="77777777" w:rsidR="002721D1" w:rsidRPr="0017698D" w:rsidRDefault="002721D1" w:rsidP="00C76D5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17698D">
              <w:rPr>
                <w:rFonts w:eastAsia="Times New Roman" w:cs="Arial"/>
                <w:color w:val="000000"/>
              </w:rPr>
              <w:t>1,103</w:t>
            </w:r>
          </w:p>
        </w:tc>
        <w:tc>
          <w:tcPr>
            <w:tcW w:w="1094" w:type="dxa"/>
            <w:vAlign w:val="center"/>
            <w:hideMark/>
          </w:tcPr>
          <w:p w14:paraId="1B23AFED" w14:textId="77777777" w:rsidR="002721D1" w:rsidRPr="0017698D" w:rsidRDefault="002721D1" w:rsidP="00C76D5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17698D">
              <w:rPr>
                <w:rFonts w:eastAsia="Times New Roman" w:cs="Arial"/>
                <w:color w:val="000000"/>
              </w:rPr>
              <w:t>972</w:t>
            </w:r>
          </w:p>
        </w:tc>
        <w:tc>
          <w:tcPr>
            <w:tcW w:w="1094" w:type="dxa"/>
            <w:vAlign w:val="center"/>
            <w:hideMark/>
          </w:tcPr>
          <w:p w14:paraId="4320D510" w14:textId="77777777" w:rsidR="002721D1" w:rsidRPr="0017698D" w:rsidRDefault="002721D1" w:rsidP="00C76D5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17698D">
              <w:rPr>
                <w:rFonts w:eastAsia="Times New Roman" w:cs="Arial"/>
                <w:color w:val="000000"/>
              </w:rPr>
              <w:t>1,424</w:t>
            </w:r>
          </w:p>
        </w:tc>
        <w:tc>
          <w:tcPr>
            <w:tcW w:w="1094" w:type="dxa"/>
            <w:vAlign w:val="center"/>
            <w:hideMark/>
          </w:tcPr>
          <w:p w14:paraId="5D9AA8F8" w14:textId="77777777" w:rsidR="002721D1" w:rsidRPr="0017698D" w:rsidRDefault="002721D1" w:rsidP="00C76D5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17698D">
              <w:rPr>
                <w:rFonts w:eastAsia="Times New Roman" w:cs="Arial"/>
                <w:color w:val="000000"/>
              </w:rPr>
              <w:t>1,429</w:t>
            </w:r>
          </w:p>
        </w:tc>
        <w:tc>
          <w:tcPr>
            <w:tcW w:w="1095" w:type="dxa"/>
            <w:vAlign w:val="center"/>
            <w:hideMark/>
          </w:tcPr>
          <w:p w14:paraId="115109FD" w14:textId="77777777" w:rsidR="002721D1" w:rsidRPr="0017698D" w:rsidRDefault="002721D1" w:rsidP="00C76D5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17698D">
              <w:rPr>
                <w:rFonts w:eastAsia="Times New Roman" w:cs="Arial"/>
                <w:color w:val="000000"/>
              </w:rPr>
              <w:t>1,048</w:t>
            </w:r>
          </w:p>
        </w:tc>
      </w:tr>
      <w:tr w:rsidR="002721D1" w:rsidRPr="0017698D" w14:paraId="460E0C52" w14:textId="77777777" w:rsidTr="00C76D53">
        <w:trPr>
          <w:cnfStyle w:val="000000100000" w:firstRow="0" w:lastRow="0" w:firstColumn="0" w:lastColumn="0" w:oddVBand="0" w:evenVBand="0" w:oddHBand="1" w:evenHBand="0" w:firstRowFirstColumn="0" w:firstRowLastColumn="0" w:lastRowFirstColumn="0" w:lastRowLastColumn="0"/>
          <w:cantSplit/>
          <w:trHeight w:val="290"/>
        </w:trPr>
        <w:tc>
          <w:tcPr>
            <w:cnfStyle w:val="001000000000" w:firstRow="0" w:lastRow="0" w:firstColumn="1" w:lastColumn="0" w:oddVBand="0" w:evenVBand="0" w:oddHBand="0" w:evenHBand="0" w:firstRowFirstColumn="0" w:firstRowLastColumn="0" w:lastRowFirstColumn="0" w:lastRowLastColumn="0"/>
            <w:tcW w:w="4225" w:type="dxa"/>
            <w:noWrap/>
            <w:hideMark/>
          </w:tcPr>
          <w:p w14:paraId="23709D5F" w14:textId="425F8BD3" w:rsidR="002721D1" w:rsidRPr="002721D1" w:rsidRDefault="002721D1" w:rsidP="002721D1">
            <w:pPr>
              <w:spacing w:after="0"/>
              <w:rPr>
                <w:rFonts w:eastAsia="Times New Roman" w:cs="Arial"/>
                <w:b w:val="0"/>
                <w:bCs w:val="0"/>
                <w:color w:val="000000"/>
              </w:rPr>
            </w:pPr>
            <w:r w:rsidRPr="00857C2E">
              <w:rPr>
                <w:rFonts w:eastAsia="Times New Roman" w:cs="Arial"/>
                <w:b w:val="0"/>
                <w:bCs w:val="0"/>
                <w:color w:val="000000"/>
              </w:rPr>
              <w:t>Percentage</w:t>
            </w:r>
          </w:p>
        </w:tc>
        <w:tc>
          <w:tcPr>
            <w:tcW w:w="1094" w:type="dxa"/>
            <w:vAlign w:val="center"/>
            <w:hideMark/>
          </w:tcPr>
          <w:p w14:paraId="32520A13" w14:textId="77777777" w:rsidR="002721D1" w:rsidRPr="0017698D" w:rsidRDefault="002721D1" w:rsidP="00C76D53">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17698D">
              <w:rPr>
                <w:rFonts w:eastAsia="Times New Roman" w:cs="Arial"/>
                <w:color w:val="000000"/>
              </w:rPr>
              <w:t>81.87%</w:t>
            </w:r>
          </w:p>
        </w:tc>
        <w:tc>
          <w:tcPr>
            <w:tcW w:w="1094" w:type="dxa"/>
            <w:vAlign w:val="center"/>
            <w:hideMark/>
          </w:tcPr>
          <w:p w14:paraId="10593619" w14:textId="77777777" w:rsidR="002721D1" w:rsidRPr="0017698D" w:rsidRDefault="002721D1" w:rsidP="00C76D53">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17698D">
              <w:rPr>
                <w:rFonts w:eastAsia="Times New Roman" w:cs="Arial"/>
                <w:color w:val="000000"/>
              </w:rPr>
              <w:t>83.95%</w:t>
            </w:r>
          </w:p>
        </w:tc>
        <w:tc>
          <w:tcPr>
            <w:tcW w:w="1094" w:type="dxa"/>
            <w:vAlign w:val="center"/>
            <w:hideMark/>
          </w:tcPr>
          <w:p w14:paraId="497D2397" w14:textId="77777777" w:rsidR="002721D1" w:rsidRPr="0017698D" w:rsidRDefault="002721D1" w:rsidP="00C76D53">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17698D">
              <w:rPr>
                <w:rFonts w:eastAsia="Times New Roman" w:cs="Arial"/>
                <w:color w:val="000000"/>
              </w:rPr>
              <w:t>83.44%</w:t>
            </w:r>
          </w:p>
        </w:tc>
        <w:tc>
          <w:tcPr>
            <w:tcW w:w="1094" w:type="dxa"/>
            <w:vAlign w:val="center"/>
            <w:hideMark/>
          </w:tcPr>
          <w:p w14:paraId="60CB2EC5" w14:textId="77777777" w:rsidR="002721D1" w:rsidRPr="0017698D" w:rsidRDefault="002721D1" w:rsidP="00C76D53">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17698D">
              <w:rPr>
                <w:rFonts w:eastAsia="Times New Roman" w:cs="Arial"/>
                <w:color w:val="000000"/>
              </w:rPr>
              <w:t>79.49%</w:t>
            </w:r>
          </w:p>
        </w:tc>
        <w:tc>
          <w:tcPr>
            <w:tcW w:w="1094" w:type="dxa"/>
            <w:vAlign w:val="center"/>
            <w:hideMark/>
          </w:tcPr>
          <w:p w14:paraId="6DCE3061" w14:textId="77777777" w:rsidR="002721D1" w:rsidRPr="0017698D" w:rsidRDefault="002721D1" w:rsidP="00C76D53">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17698D">
              <w:rPr>
                <w:rFonts w:eastAsia="Times New Roman" w:cs="Arial"/>
                <w:color w:val="000000"/>
              </w:rPr>
              <w:t>84.74%</w:t>
            </w:r>
          </w:p>
        </w:tc>
        <w:tc>
          <w:tcPr>
            <w:tcW w:w="1095" w:type="dxa"/>
            <w:vAlign w:val="center"/>
            <w:hideMark/>
          </w:tcPr>
          <w:p w14:paraId="1A22D9E6" w14:textId="77777777" w:rsidR="002721D1" w:rsidRPr="0017698D" w:rsidRDefault="002721D1" w:rsidP="00C76D53">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17698D">
              <w:rPr>
                <w:rFonts w:eastAsia="Times New Roman" w:cs="Arial"/>
                <w:color w:val="000000"/>
              </w:rPr>
              <w:t>86.35%</w:t>
            </w:r>
          </w:p>
        </w:tc>
      </w:tr>
      <w:tr w:rsidR="002721D1" w:rsidRPr="0017698D" w14:paraId="3FBA73F4" w14:textId="77777777" w:rsidTr="00C76D53">
        <w:trPr>
          <w:cantSplit/>
          <w:trHeight w:val="290"/>
        </w:trPr>
        <w:tc>
          <w:tcPr>
            <w:cnfStyle w:val="001000000000" w:firstRow="0" w:lastRow="0" w:firstColumn="1" w:lastColumn="0" w:oddVBand="0" w:evenVBand="0" w:oddHBand="0" w:evenHBand="0" w:firstRowFirstColumn="0" w:firstRowLastColumn="0" w:lastRowFirstColumn="0" w:lastRowLastColumn="0"/>
            <w:tcW w:w="4225" w:type="dxa"/>
            <w:noWrap/>
            <w:hideMark/>
          </w:tcPr>
          <w:p w14:paraId="23FB6F5F" w14:textId="48FCBED0" w:rsidR="002721D1" w:rsidRPr="002721D1" w:rsidRDefault="002721D1" w:rsidP="002721D1">
            <w:pPr>
              <w:spacing w:after="0"/>
              <w:rPr>
                <w:rFonts w:eastAsia="Times New Roman" w:cs="Arial"/>
                <w:b w:val="0"/>
                <w:bCs w:val="0"/>
                <w:color w:val="000000"/>
              </w:rPr>
            </w:pPr>
            <w:r w:rsidRPr="00857C2E">
              <w:rPr>
                <w:rFonts w:eastAsia="Times New Roman" w:cs="Arial"/>
                <w:b w:val="0"/>
                <w:bCs w:val="0"/>
                <w:color w:val="000000"/>
              </w:rPr>
              <w:t xml:space="preserve">Change in </w:t>
            </w:r>
            <w:r w:rsidR="00C85E37">
              <w:rPr>
                <w:rFonts w:eastAsia="Times New Roman" w:cs="Arial"/>
                <w:b w:val="0"/>
                <w:bCs w:val="0"/>
                <w:color w:val="000000"/>
              </w:rPr>
              <w:t>p</w:t>
            </w:r>
            <w:r w:rsidRPr="00857C2E">
              <w:rPr>
                <w:rFonts w:eastAsia="Times New Roman" w:cs="Arial"/>
                <w:b w:val="0"/>
                <w:bCs w:val="0"/>
                <w:color w:val="000000"/>
              </w:rPr>
              <w:t>ercentage</w:t>
            </w:r>
          </w:p>
        </w:tc>
        <w:tc>
          <w:tcPr>
            <w:tcW w:w="1094" w:type="dxa"/>
            <w:vAlign w:val="center"/>
            <w:hideMark/>
          </w:tcPr>
          <w:p w14:paraId="7FEC5138" w14:textId="5D0EC35B" w:rsidR="002721D1" w:rsidRPr="0017698D" w:rsidRDefault="005D465D" w:rsidP="00C76D5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Pr>
                <w:rFonts w:eastAsia="Times New Roman" w:cs="Arial"/>
                <w:color w:val="000000"/>
              </w:rPr>
              <w:t>n/a</w:t>
            </w:r>
          </w:p>
        </w:tc>
        <w:tc>
          <w:tcPr>
            <w:tcW w:w="1094" w:type="dxa"/>
            <w:vAlign w:val="center"/>
            <w:hideMark/>
          </w:tcPr>
          <w:p w14:paraId="27F4DD03" w14:textId="53F1F5B7" w:rsidR="002721D1" w:rsidRPr="0017698D" w:rsidRDefault="002721D1" w:rsidP="00C76D5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Pr>
                <w:rFonts w:eastAsia="Times New Roman" w:cs="Arial"/>
                <w:color w:val="000000"/>
              </w:rPr>
              <w:t>+</w:t>
            </w:r>
            <w:r w:rsidRPr="0017698D">
              <w:rPr>
                <w:rFonts w:eastAsia="Times New Roman" w:cs="Arial"/>
                <w:color w:val="000000"/>
              </w:rPr>
              <w:t>2.08%</w:t>
            </w:r>
          </w:p>
        </w:tc>
        <w:tc>
          <w:tcPr>
            <w:tcW w:w="1094" w:type="dxa"/>
            <w:vAlign w:val="center"/>
            <w:hideMark/>
          </w:tcPr>
          <w:p w14:paraId="77CF85BE" w14:textId="77777777" w:rsidR="002721D1" w:rsidRPr="0017698D" w:rsidRDefault="002721D1" w:rsidP="00C76D5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17698D">
              <w:rPr>
                <w:rFonts w:eastAsia="Times New Roman" w:cs="Arial"/>
                <w:color w:val="000000"/>
              </w:rPr>
              <w:t>-0.51%</w:t>
            </w:r>
          </w:p>
        </w:tc>
        <w:tc>
          <w:tcPr>
            <w:tcW w:w="1094" w:type="dxa"/>
            <w:vAlign w:val="center"/>
            <w:hideMark/>
          </w:tcPr>
          <w:p w14:paraId="6F4AB911" w14:textId="77777777" w:rsidR="002721D1" w:rsidRPr="0017698D" w:rsidRDefault="002721D1" w:rsidP="00C76D5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17698D">
              <w:rPr>
                <w:rFonts w:eastAsia="Times New Roman" w:cs="Arial"/>
                <w:color w:val="000000"/>
              </w:rPr>
              <w:t>-3.95%</w:t>
            </w:r>
          </w:p>
        </w:tc>
        <w:tc>
          <w:tcPr>
            <w:tcW w:w="1094" w:type="dxa"/>
            <w:vAlign w:val="center"/>
            <w:hideMark/>
          </w:tcPr>
          <w:p w14:paraId="20AAA283" w14:textId="4BDBA539" w:rsidR="002721D1" w:rsidRPr="0017698D" w:rsidRDefault="002721D1" w:rsidP="00C76D5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Pr>
                <w:rFonts w:eastAsia="Times New Roman" w:cs="Arial"/>
                <w:color w:val="000000"/>
              </w:rPr>
              <w:t>+</w:t>
            </w:r>
            <w:r w:rsidRPr="0017698D">
              <w:rPr>
                <w:rFonts w:eastAsia="Times New Roman" w:cs="Arial"/>
                <w:color w:val="000000"/>
              </w:rPr>
              <w:t>5.25%</w:t>
            </w:r>
          </w:p>
        </w:tc>
        <w:tc>
          <w:tcPr>
            <w:tcW w:w="1095" w:type="dxa"/>
            <w:vAlign w:val="center"/>
            <w:hideMark/>
          </w:tcPr>
          <w:p w14:paraId="4D292D44" w14:textId="046C5A94" w:rsidR="002721D1" w:rsidRPr="0017698D" w:rsidRDefault="002721D1" w:rsidP="00C76D5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Pr>
                <w:rFonts w:eastAsia="Times New Roman" w:cs="Arial"/>
                <w:color w:val="000000"/>
              </w:rPr>
              <w:t>+</w:t>
            </w:r>
            <w:r w:rsidRPr="0017698D">
              <w:rPr>
                <w:rFonts w:eastAsia="Times New Roman" w:cs="Arial"/>
                <w:color w:val="000000"/>
              </w:rPr>
              <w:t>1.61%</w:t>
            </w:r>
          </w:p>
        </w:tc>
      </w:tr>
    </w:tbl>
    <w:p w14:paraId="4030A3B6" w14:textId="77777777" w:rsidR="00193029" w:rsidRDefault="00193029" w:rsidP="00B25028">
      <w:pPr>
        <w:pStyle w:val="Heading2"/>
      </w:pPr>
    </w:p>
    <w:p w14:paraId="5692C172" w14:textId="77777777" w:rsidR="00193029" w:rsidRDefault="00193029">
      <w:pPr>
        <w:spacing w:after="0"/>
        <w:rPr>
          <w:rFonts w:cstheme="minorHAnsi"/>
          <w:b/>
          <w:caps/>
          <w:color w:val="1F497D" w:themeColor="text2"/>
          <w:sz w:val="24"/>
          <w:szCs w:val="24"/>
        </w:rPr>
      </w:pPr>
      <w:r>
        <w:br w:type="page"/>
      </w:r>
    </w:p>
    <w:p w14:paraId="5EBE1736" w14:textId="25054773" w:rsidR="00881836" w:rsidRDefault="00881836" w:rsidP="00B25028">
      <w:pPr>
        <w:pStyle w:val="Heading2"/>
      </w:pPr>
      <w:r>
        <w:lastRenderedPageBreak/>
        <w:t>How has Ohio performed in relation to the targets</w:t>
      </w:r>
      <w:r w:rsidR="00571D36">
        <w:t xml:space="preserve"> on indicator 14c</w:t>
      </w:r>
      <w:r>
        <w:t>?</w:t>
      </w:r>
    </w:p>
    <w:p w14:paraId="384B3A0C" w14:textId="0A2645C0" w:rsidR="007F08DC" w:rsidRDefault="007F08DC" w:rsidP="007F08DC">
      <w:r>
        <w:t xml:space="preserve">The graphs below depict Ohio’s performance over time in relation to the state targets. </w:t>
      </w:r>
    </w:p>
    <w:p w14:paraId="41263FC9" w14:textId="77777777" w:rsidR="00593A2B" w:rsidRDefault="007F08DC" w:rsidP="00C73806">
      <w:pPr>
        <w:pStyle w:val="ListParagraph"/>
        <w:numPr>
          <w:ilvl w:val="0"/>
          <w:numId w:val="43"/>
        </w:numPr>
        <w:spacing w:after="60"/>
      </w:pPr>
      <w:r>
        <w:t xml:space="preserve">The bars in each graph indicate Ohio’s performance for each year. </w:t>
      </w:r>
      <w:r w:rsidR="00593A2B">
        <w:t>Red bars with horizontal stripes mean Ohio did not meet the target for that year. Green bars with vertical stripes mean Ohio met the target for that year.</w:t>
      </w:r>
    </w:p>
    <w:p w14:paraId="1D1BA327" w14:textId="055D0645" w:rsidR="007F08DC" w:rsidRDefault="007F08DC" w:rsidP="00C73806">
      <w:pPr>
        <w:pStyle w:val="ListParagraph"/>
        <w:numPr>
          <w:ilvl w:val="0"/>
          <w:numId w:val="43"/>
        </w:numPr>
      </w:pPr>
      <w:r>
        <w:t>The dotted black line in each graph depicts the state target for each year</w:t>
      </w:r>
      <w:r w:rsidR="009E4ABA">
        <w:t>.</w:t>
      </w:r>
    </w:p>
    <w:p w14:paraId="484ED1A1" w14:textId="76110826" w:rsidR="007F08DC" w:rsidRDefault="007F08DC" w:rsidP="00C73806">
      <w:pPr>
        <w:pStyle w:val="ListParagraph"/>
        <w:numPr>
          <w:ilvl w:val="0"/>
          <w:numId w:val="43"/>
        </w:numPr>
      </w:pPr>
      <w:r>
        <w:t>The table below each graph calculates the difference between the state target and Ohio’s performance. Negative numbers mean Ohio performed below the state target.</w:t>
      </w:r>
    </w:p>
    <w:p w14:paraId="0BD3053F" w14:textId="5C8226BB" w:rsidR="00571D36" w:rsidRPr="00AF1DB9" w:rsidRDefault="00571D36" w:rsidP="00571D36">
      <w:r>
        <w:t>For indicator 14c, the goal is to be at or above the target.</w:t>
      </w:r>
    </w:p>
    <w:p w14:paraId="607F590D" w14:textId="57F48F75" w:rsidR="005152AA" w:rsidRDefault="00BA511F" w:rsidP="005152AA">
      <w:pPr>
        <w:keepNext/>
        <w:jc w:val="center"/>
      </w:pPr>
      <w:r>
        <w:rPr>
          <w:noProof/>
        </w:rPr>
        <w:drawing>
          <wp:inline distT="0" distB="0" distL="0" distR="0" wp14:anchorId="5C306F1E" wp14:editId="0A1E399A">
            <wp:extent cx="6400800" cy="2743200"/>
            <wp:effectExtent l="0" t="0" r="0" b="0"/>
            <wp:docPr id="11" name="Chart 11" descr="Combination graph showing Ohio's performance on indicator 14c compared to the target.">
              <a:extLst xmlns:a="http://schemas.openxmlformats.org/drawingml/2006/main">
                <a:ext uri="{FF2B5EF4-FFF2-40B4-BE49-F238E27FC236}">
                  <a16:creationId xmlns:a16="http://schemas.microsoft.com/office/drawing/2014/main" id="{A09A03CA-BED7-4407-ABF6-104E197A5B7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7CEF8B74" w14:textId="71D21756" w:rsidR="005152AA" w:rsidRDefault="005152AA" w:rsidP="00D13D50">
      <w:pPr>
        <w:pStyle w:val="Caption"/>
      </w:pPr>
      <w:r>
        <w:t xml:space="preserve">Figure </w:t>
      </w:r>
      <w:r>
        <w:fldChar w:fldCharType="begin"/>
      </w:r>
      <w:r>
        <w:instrText>SEQ Figure \* ARABIC</w:instrText>
      </w:r>
      <w:r>
        <w:fldChar w:fldCharType="separate"/>
      </w:r>
      <w:r>
        <w:rPr>
          <w:noProof/>
        </w:rPr>
        <w:t>6</w:t>
      </w:r>
      <w:r>
        <w:fldChar w:fldCharType="end"/>
      </w:r>
      <w:r>
        <w:t xml:space="preserve">. </w:t>
      </w:r>
      <w:r w:rsidRPr="00C27FBB">
        <w:t xml:space="preserve">Ohio’s percentage of </w:t>
      </w:r>
      <w:r>
        <w:t>students</w:t>
      </w:r>
      <w:r w:rsidRPr="00C27FBB">
        <w:t xml:space="preserve"> with disabilities enrolled in higher education or in some other postsecondary education or training program or competitively employed or in some other employment within one year of leaving high school increased from 81.87%</w:t>
      </w:r>
      <w:r>
        <w:t xml:space="preserve"> in 2014-</w:t>
      </w:r>
      <w:r w:rsidR="0039593F">
        <w:t>20</w:t>
      </w:r>
      <w:r>
        <w:t>15</w:t>
      </w:r>
      <w:r w:rsidRPr="00C27FBB">
        <w:t xml:space="preserve"> to </w:t>
      </w:r>
      <w:r>
        <w:t>86.35</w:t>
      </w:r>
      <w:r w:rsidRPr="00C27FBB">
        <w:t xml:space="preserve">% </w:t>
      </w:r>
      <w:r>
        <w:t>in 2019-</w:t>
      </w:r>
      <w:r w:rsidR="0039593F">
        <w:t>20</w:t>
      </w:r>
      <w:r>
        <w:t>20, meeting the target every year except 2017-</w:t>
      </w:r>
      <w:r w:rsidR="0039593F">
        <w:t>20</w:t>
      </w:r>
      <w:r>
        <w:t>18</w:t>
      </w:r>
      <w:r w:rsidR="004A2800">
        <w:t>.</w:t>
      </w:r>
    </w:p>
    <w:p w14:paraId="34FBA7F0" w14:textId="23D64245" w:rsidR="004A2800" w:rsidRDefault="004A2800" w:rsidP="004A2800">
      <w:pPr>
        <w:pStyle w:val="Caption"/>
        <w:keepNext/>
      </w:pPr>
      <w:r>
        <w:t xml:space="preserve">Table </w:t>
      </w:r>
      <w:r>
        <w:fldChar w:fldCharType="begin"/>
      </w:r>
      <w:r>
        <w:instrText>SEQ Table \* ARABIC</w:instrText>
      </w:r>
      <w:r>
        <w:fldChar w:fldCharType="separate"/>
      </w:r>
      <w:r w:rsidR="003856B9">
        <w:rPr>
          <w:noProof/>
        </w:rPr>
        <w:t>10</w:t>
      </w:r>
      <w:r>
        <w:fldChar w:fldCharType="end"/>
      </w:r>
      <w:r>
        <w:t xml:space="preserve">. </w:t>
      </w:r>
      <w:r w:rsidRPr="003D7806">
        <w:t xml:space="preserve">Percentage difference between the state target and Ohio's performance for the percentage of students with disabilities </w:t>
      </w:r>
      <w:r w:rsidR="00D13D50" w:rsidRPr="00C27FBB">
        <w:t>enrolled in higher education or in some other postsecondary education or training program or competitively employed or in some other employment within one year of leaving high school</w:t>
      </w:r>
      <w:r w:rsidRPr="003D7806">
        <w:t>.</w:t>
      </w:r>
      <w:r w:rsidR="00593A2B" w:rsidRPr="00593A2B">
        <w:t xml:space="preserve"> </w:t>
      </w:r>
      <w:r w:rsidR="00593A2B">
        <w:t>The goal for indicator 14c is to be at or above the target. Positive difference numbers indicate the state was above the target for that year and met the target. Negative difference numbers indicate the state was below the target for that year and did not meet the target.</w:t>
      </w:r>
    </w:p>
    <w:tbl>
      <w:tblPr>
        <w:tblStyle w:val="PlainTable1"/>
        <w:tblW w:w="5000" w:type="pct"/>
        <w:tblLook w:val="04A0" w:firstRow="1" w:lastRow="0" w:firstColumn="1" w:lastColumn="0" w:noHBand="0" w:noVBand="1"/>
        <w:tblCaption w:val="Ind 14c Performance vs Target"/>
        <w:tblDescription w:val="Percentage difference between the state target and Ohio's performance for the percentage of students with disabilities enrolled in higher education or in some other postsecondary education or training program; or competitively employed or in some other employment within one year of leaving high school. The goal for indicator 14c is to be at or above the target. Positive difference numbers indicate the state was above the target for that year and met the target. Negative difference numbers indicate the state was below the target for that year and did not meet the target."/>
      </w:tblPr>
      <w:tblGrid>
        <w:gridCol w:w="1540"/>
        <w:gridCol w:w="1541"/>
        <w:gridCol w:w="1541"/>
        <w:gridCol w:w="1541"/>
        <w:gridCol w:w="1541"/>
        <w:gridCol w:w="1541"/>
        <w:gridCol w:w="1545"/>
      </w:tblGrid>
      <w:tr w:rsidR="004A2800" w:rsidRPr="00EC109D" w14:paraId="59DFE009" w14:textId="77777777" w:rsidTr="00D03C9D">
        <w:trPr>
          <w:cnfStyle w:val="100000000000" w:firstRow="1" w:lastRow="0" w:firstColumn="0" w:lastColumn="0" w:oddVBand="0" w:evenVBand="0" w:oddHBand="0" w:evenHBand="0" w:firstRowFirstColumn="0" w:firstRowLastColumn="0" w:lastRowFirstColumn="0" w:lastRowLastColumn="0"/>
          <w:cantSplit/>
          <w:trHeight w:val="288"/>
          <w:tblHeader/>
        </w:trPr>
        <w:tc>
          <w:tcPr>
            <w:cnfStyle w:val="001000000000" w:firstRow="0" w:lastRow="0" w:firstColumn="1" w:lastColumn="0" w:oddVBand="0" w:evenVBand="0" w:oddHBand="0" w:evenHBand="0" w:firstRowFirstColumn="0" w:firstRowLastColumn="0" w:lastRowFirstColumn="0" w:lastRowLastColumn="0"/>
            <w:tcW w:w="714" w:type="pct"/>
          </w:tcPr>
          <w:p w14:paraId="44F3992E" w14:textId="77777777" w:rsidR="004A2800" w:rsidRPr="00EC109D" w:rsidRDefault="004A2800" w:rsidP="00D03C9D">
            <w:pPr>
              <w:spacing w:after="0"/>
              <w:contextualSpacing/>
              <w:jc w:val="center"/>
            </w:pPr>
            <w:bookmarkStart w:id="11" w:name="Title_14c_Diff_Target"/>
            <w:bookmarkEnd w:id="11"/>
            <w:r>
              <w:t>Data Year</w:t>
            </w:r>
          </w:p>
        </w:tc>
        <w:tc>
          <w:tcPr>
            <w:tcW w:w="714" w:type="pct"/>
          </w:tcPr>
          <w:p w14:paraId="50485AF8" w14:textId="422FBB0C" w:rsidR="004A2800" w:rsidRPr="00EC109D" w:rsidRDefault="00FE1804" w:rsidP="00D03C9D">
            <w:pPr>
              <w:spacing w:after="0"/>
              <w:contextualSpacing/>
              <w:jc w:val="center"/>
              <w:cnfStyle w:val="100000000000" w:firstRow="1" w:lastRow="0" w:firstColumn="0" w:lastColumn="0" w:oddVBand="0" w:evenVBand="0" w:oddHBand="0" w:evenHBand="0" w:firstRowFirstColumn="0" w:firstRowLastColumn="0" w:lastRowFirstColumn="0" w:lastRowLastColumn="0"/>
            </w:pPr>
            <w:r>
              <w:t>20</w:t>
            </w:r>
            <w:r w:rsidR="004A2800" w:rsidRPr="00EC109D">
              <w:t>14-15</w:t>
            </w:r>
          </w:p>
        </w:tc>
        <w:tc>
          <w:tcPr>
            <w:tcW w:w="714" w:type="pct"/>
          </w:tcPr>
          <w:p w14:paraId="02D6AD18" w14:textId="52BC57EB" w:rsidR="004A2800" w:rsidRPr="00EC109D" w:rsidRDefault="00FE1804" w:rsidP="00D03C9D">
            <w:pPr>
              <w:spacing w:after="0"/>
              <w:contextualSpacing/>
              <w:jc w:val="center"/>
              <w:cnfStyle w:val="100000000000" w:firstRow="1" w:lastRow="0" w:firstColumn="0" w:lastColumn="0" w:oddVBand="0" w:evenVBand="0" w:oddHBand="0" w:evenHBand="0" w:firstRowFirstColumn="0" w:firstRowLastColumn="0" w:lastRowFirstColumn="0" w:lastRowLastColumn="0"/>
            </w:pPr>
            <w:r>
              <w:t>20</w:t>
            </w:r>
            <w:r w:rsidR="004A2800" w:rsidRPr="00EC109D">
              <w:t>15-16</w:t>
            </w:r>
          </w:p>
        </w:tc>
        <w:tc>
          <w:tcPr>
            <w:tcW w:w="714" w:type="pct"/>
          </w:tcPr>
          <w:p w14:paraId="00BB32C3" w14:textId="0A20BA4D" w:rsidR="004A2800" w:rsidRPr="00EC109D" w:rsidRDefault="00FE1804" w:rsidP="00D03C9D">
            <w:pPr>
              <w:spacing w:after="0"/>
              <w:contextualSpacing/>
              <w:jc w:val="center"/>
              <w:cnfStyle w:val="100000000000" w:firstRow="1" w:lastRow="0" w:firstColumn="0" w:lastColumn="0" w:oddVBand="0" w:evenVBand="0" w:oddHBand="0" w:evenHBand="0" w:firstRowFirstColumn="0" w:firstRowLastColumn="0" w:lastRowFirstColumn="0" w:lastRowLastColumn="0"/>
            </w:pPr>
            <w:r>
              <w:t>20</w:t>
            </w:r>
            <w:r w:rsidR="004A2800" w:rsidRPr="00EC109D">
              <w:t>16-17</w:t>
            </w:r>
          </w:p>
        </w:tc>
        <w:tc>
          <w:tcPr>
            <w:tcW w:w="714" w:type="pct"/>
          </w:tcPr>
          <w:p w14:paraId="2897096F" w14:textId="6E2C69E3" w:rsidR="004A2800" w:rsidRPr="00EC109D" w:rsidRDefault="00FE1804" w:rsidP="00D03C9D">
            <w:pPr>
              <w:spacing w:after="0"/>
              <w:contextualSpacing/>
              <w:jc w:val="center"/>
              <w:cnfStyle w:val="100000000000" w:firstRow="1" w:lastRow="0" w:firstColumn="0" w:lastColumn="0" w:oddVBand="0" w:evenVBand="0" w:oddHBand="0" w:evenHBand="0" w:firstRowFirstColumn="0" w:firstRowLastColumn="0" w:lastRowFirstColumn="0" w:lastRowLastColumn="0"/>
            </w:pPr>
            <w:r>
              <w:t>20</w:t>
            </w:r>
            <w:r w:rsidR="004A2800" w:rsidRPr="00EC109D">
              <w:t>17-18</w:t>
            </w:r>
          </w:p>
        </w:tc>
        <w:tc>
          <w:tcPr>
            <w:tcW w:w="714" w:type="pct"/>
          </w:tcPr>
          <w:p w14:paraId="4551A057" w14:textId="163C420C" w:rsidR="004A2800" w:rsidRPr="00EC109D" w:rsidRDefault="00FE1804" w:rsidP="00D03C9D">
            <w:pPr>
              <w:spacing w:after="0"/>
              <w:contextualSpacing/>
              <w:jc w:val="center"/>
              <w:cnfStyle w:val="100000000000" w:firstRow="1" w:lastRow="0" w:firstColumn="0" w:lastColumn="0" w:oddVBand="0" w:evenVBand="0" w:oddHBand="0" w:evenHBand="0" w:firstRowFirstColumn="0" w:firstRowLastColumn="0" w:lastRowFirstColumn="0" w:lastRowLastColumn="0"/>
            </w:pPr>
            <w:r>
              <w:t>20</w:t>
            </w:r>
            <w:r w:rsidR="004A2800" w:rsidRPr="00EC109D">
              <w:t>18-19</w:t>
            </w:r>
          </w:p>
        </w:tc>
        <w:tc>
          <w:tcPr>
            <w:tcW w:w="716" w:type="pct"/>
          </w:tcPr>
          <w:p w14:paraId="6780F911" w14:textId="4840624D" w:rsidR="004A2800" w:rsidRPr="00EC109D" w:rsidRDefault="00FE1804" w:rsidP="00D03C9D">
            <w:pPr>
              <w:spacing w:after="0"/>
              <w:contextualSpacing/>
              <w:jc w:val="center"/>
              <w:cnfStyle w:val="100000000000" w:firstRow="1" w:lastRow="0" w:firstColumn="0" w:lastColumn="0" w:oddVBand="0" w:evenVBand="0" w:oddHBand="0" w:evenHBand="0" w:firstRowFirstColumn="0" w:firstRowLastColumn="0" w:lastRowFirstColumn="0" w:lastRowLastColumn="0"/>
            </w:pPr>
            <w:r>
              <w:t>20</w:t>
            </w:r>
            <w:r w:rsidR="004A2800" w:rsidRPr="00EC109D">
              <w:t>19-20</w:t>
            </w:r>
          </w:p>
        </w:tc>
      </w:tr>
      <w:tr w:rsidR="004A2800" w:rsidRPr="00EC109D" w14:paraId="55530665" w14:textId="77777777" w:rsidTr="00C76D53">
        <w:trPr>
          <w:cnfStyle w:val="000000100000" w:firstRow="0" w:lastRow="0" w:firstColumn="0" w:lastColumn="0" w:oddVBand="0" w:evenVBand="0" w:oddHBand="1" w:evenHBand="0" w:firstRowFirstColumn="0" w:firstRowLastColumn="0" w:lastRowFirstColumn="0" w:lastRowLastColumn="0"/>
          <w:cantSplit/>
          <w:trHeight w:val="288"/>
        </w:trPr>
        <w:tc>
          <w:tcPr>
            <w:cnfStyle w:val="001000000000" w:firstRow="0" w:lastRow="0" w:firstColumn="1" w:lastColumn="0" w:oddVBand="0" w:evenVBand="0" w:oddHBand="0" w:evenHBand="0" w:firstRowFirstColumn="0" w:firstRowLastColumn="0" w:lastRowFirstColumn="0" w:lastRowLastColumn="0"/>
            <w:tcW w:w="714" w:type="pct"/>
          </w:tcPr>
          <w:p w14:paraId="7CA29175" w14:textId="77777777" w:rsidR="004A2800" w:rsidRPr="003D7806" w:rsidRDefault="004A2800" w:rsidP="004A2800">
            <w:pPr>
              <w:spacing w:after="0"/>
              <w:contextualSpacing/>
              <w:jc w:val="center"/>
              <w:rPr>
                <w:rFonts w:cs="Arial"/>
                <w:b w:val="0"/>
                <w:bCs w:val="0"/>
                <w:color w:val="000000"/>
              </w:rPr>
            </w:pPr>
            <w:r w:rsidRPr="003D7806">
              <w:rPr>
                <w:b w:val="0"/>
                <w:bCs w:val="0"/>
              </w:rPr>
              <w:t>Difference between state target and Ohio’s performance</w:t>
            </w:r>
          </w:p>
        </w:tc>
        <w:tc>
          <w:tcPr>
            <w:tcW w:w="714" w:type="pct"/>
            <w:shd w:val="clear" w:color="auto" w:fill="EAF1DD" w:themeFill="accent3" w:themeFillTint="33"/>
            <w:vAlign w:val="center"/>
          </w:tcPr>
          <w:p w14:paraId="03B32DB1" w14:textId="523097F2" w:rsidR="004A2800" w:rsidRPr="00EC109D" w:rsidRDefault="004A2800" w:rsidP="00C76D53">
            <w:pPr>
              <w:spacing w:after="0"/>
              <w:contextualSpacing/>
              <w:jc w:val="center"/>
              <w:cnfStyle w:val="000000100000" w:firstRow="0" w:lastRow="0" w:firstColumn="0" w:lastColumn="0" w:oddVBand="0" w:evenVBand="0" w:oddHBand="1" w:evenHBand="0" w:firstRowFirstColumn="0" w:firstRowLastColumn="0" w:lastRowFirstColumn="0" w:lastRowLastColumn="0"/>
              <w:rPr>
                <w:rFonts w:cs="Arial"/>
                <w:color w:val="000000"/>
              </w:rPr>
            </w:pPr>
            <w:r w:rsidRPr="00700486">
              <w:rPr>
                <w:rFonts w:cs="Arial"/>
                <w:color w:val="000000"/>
              </w:rPr>
              <w:t>1.87%</w:t>
            </w:r>
          </w:p>
        </w:tc>
        <w:tc>
          <w:tcPr>
            <w:tcW w:w="714" w:type="pct"/>
            <w:shd w:val="clear" w:color="auto" w:fill="EAF1DD" w:themeFill="accent3" w:themeFillTint="33"/>
            <w:vAlign w:val="center"/>
          </w:tcPr>
          <w:p w14:paraId="0BECA044" w14:textId="56193F7C" w:rsidR="004A2800" w:rsidRPr="00EC109D" w:rsidRDefault="004A2800" w:rsidP="00C76D53">
            <w:pPr>
              <w:spacing w:after="0"/>
              <w:contextualSpacing/>
              <w:jc w:val="center"/>
              <w:cnfStyle w:val="000000100000" w:firstRow="0" w:lastRow="0" w:firstColumn="0" w:lastColumn="0" w:oddVBand="0" w:evenVBand="0" w:oddHBand="1" w:evenHBand="0" w:firstRowFirstColumn="0" w:firstRowLastColumn="0" w:lastRowFirstColumn="0" w:lastRowLastColumn="0"/>
              <w:rPr>
                <w:rFonts w:cs="Arial"/>
                <w:color w:val="000000"/>
              </w:rPr>
            </w:pPr>
            <w:r w:rsidRPr="00700486">
              <w:rPr>
                <w:rFonts w:cs="Arial"/>
                <w:color w:val="000000"/>
              </w:rPr>
              <w:t>2.95%</w:t>
            </w:r>
          </w:p>
        </w:tc>
        <w:tc>
          <w:tcPr>
            <w:tcW w:w="714" w:type="pct"/>
            <w:shd w:val="clear" w:color="auto" w:fill="EAF1DD" w:themeFill="accent3" w:themeFillTint="33"/>
            <w:vAlign w:val="center"/>
          </w:tcPr>
          <w:p w14:paraId="0FCD16B0" w14:textId="5E856029" w:rsidR="004A2800" w:rsidRPr="00EC109D" w:rsidRDefault="004A2800" w:rsidP="00C76D53">
            <w:pPr>
              <w:spacing w:after="0"/>
              <w:contextualSpacing/>
              <w:jc w:val="center"/>
              <w:cnfStyle w:val="000000100000" w:firstRow="0" w:lastRow="0" w:firstColumn="0" w:lastColumn="0" w:oddVBand="0" w:evenVBand="0" w:oddHBand="1" w:evenHBand="0" w:firstRowFirstColumn="0" w:firstRowLastColumn="0" w:lastRowFirstColumn="0" w:lastRowLastColumn="0"/>
              <w:rPr>
                <w:rFonts w:cs="Arial"/>
                <w:color w:val="000000"/>
              </w:rPr>
            </w:pPr>
            <w:r w:rsidRPr="00700486">
              <w:rPr>
                <w:rFonts w:cs="Arial"/>
                <w:color w:val="000000"/>
              </w:rPr>
              <w:t>1.44%</w:t>
            </w:r>
          </w:p>
        </w:tc>
        <w:tc>
          <w:tcPr>
            <w:tcW w:w="714" w:type="pct"/>
            <w:shd w:val="clear" w:color="auto" w:fill="F2DBDB" w:themeFill="accent2" w:themeFillTint="33"/>
            <w:vAlign w:val="center"/>
          </w:tcPr>
          <w:p w14:paraId="49EC2A70" w14:textId="145561B3" w:rsidR="004A2800" w:rsidRPr="00EC109D" w:rsidRDefault="004A2800" w:rsidP="00C76D53">
            <w:pPr>
              <w:spacing w:after="0"/>
              <w:contextualSpacing/>
              <w:jc w:val="center"/>
              <w:cnfStyle w:val="000000100000" w:firstRow="0" w:lastRow="0" w:firstColumn="0" w:lastColumn="0" w:oddVBand="0" w:evenVBand="0" w:oddHBand="1" w:evenHBand="0" w:firstRowFirstColumn="0" w:firstRowLastColumn="0" w:lastRowFirstColumn="0" w:lastRowLastColumn="0"/>
              <w:rPr>
                <w:rFonts w:cs="Arial"/>
                <w:color w:val="000000"/>
              </w:rPr>
            </w:pPr>
            <w:r w:rsidRPr="00700486">
              <w:rPr>
                <w:rFonts w:cs="Arial"/>
                <w:color w:val="000000"/>
              </w:rPr>
              <w:t>-3.51%</w:t>
            </w:r>
          </w:p>
        </w:tc>
        <w:tc>
          <w:tcPr>
            <w:tcW w:w="714" w:type="pct"/>
            <w:shd w:val="clear" w:color="auto" w:fill="EAF1DD" w:themeFill="accent3" w:themeFillTint="33"/>
            <w:vAlign w:val="center"/>
          </w:tcPr>
          <w:p w14:paraId="0424F5FD" w14:textId="38057B02" w:rsidR="004A2800" w:rsidRPr="00EC109D" w:rsidRDefault="004A2800" w:rsidP="00C76D53">
            <w:pPr>
              <w:spacing w:after="0"/>
              <w:contextualSpacing/>
              <w:jc w:val="center"/>
              <w:cnfStyle w:val="000000100000" w:firstRow="0" w:lastRow="0" w:firstColumn="0" w:lastColumn="0" w:oddVBand="0" w:evenVBand="0" w:oddHBand="1" w:evenHBand="0" w:firstRowFirstColumn="0" w:firstRowLastColumn="0" w:lastRowFirstColumn="0" w:lastRowLastColumn="0"/>
              <w:rPr>
                <w:rFonts w:cs="Arial"/>
                <w:color w:val="000000"/>
              </w:rPr>
            </w:pPr>
            <w:r w:rsidRPr="00700486">
              <w:rPr>
                <w:rFonts w:cs="Arial"/>
                <w:color w:val="000000"/>
              </w:rPr>
              <w:t>0.74%</w:t>
            </w:r>
          </w:p>
        </w:tc>
        <w:tc>
          <w:tcPr>
            <w:tcW w:w="716" w:type="pct"/>
            <w:shd w:val="clear" w:color="auto" w:fill="EAF1DD" w:themeFill="accent3" w:themeFillTint="33"/>
            <w:vAlign w:val="center"/>
          </w:tcPr>
          <w:p w14:paraId="18FDA296" w14:textId="2BAD7B43" w:rsidR="004A2800" w:rsidRPr="00EC109D" w:rsidRDefault="004A2800" w:rsidP="00C76D53">
            <w:pPr>
              <w:spacing w:after="0"/>
              <w:contextualSpacing/>
              <w:jc w:val="center"/>
              <w:cnfStyle w:val="000000100000" w:firstRow="0" w:lastRow="0" w:firstColumn="0" w:lastColumn="0" w:oddVBand="0" w:evenVBand="0" w:oddHBand="1" w:evenHBand="0" w:firstRowFirstColumn="0" w:firstRowLastColumn="0" w:lastRowFirstColumn="0" w:lastRowLastColumn="0"/>
              <w:rPr>
                <w:rFonts w:cs="Arial"/>
                <w:color w:val="000000"/>
              </w:rPr>
            </w:pPr>
            <w:r w:rsidRPr="00700486">
              <w:rPr>
                <w:rFonts w:cs="Arial"/>
                <w:color w:val="000000"/>
              </w:rPr>
              <w:t>2.35%</w:t>
            </w:r>
          </w:p>
        </w:tc>
      </w:tr>
    </w:tbl>
    <w:p w14:paraId="278B4B9F" w14:textId="77777777" w:rsidR="0057087B" w:rsidRDefault="0057087B" w:rsidP="00063CB6"/>
    <w:p w14:paraId="3BEB1AC8" w14:textId="77777777" w:rsidR="0057087B" w:rsidRDefault="0057087B">
      <w:pPr>
        <w:spacing w:after="0"/>
        <w:rPr>
          <w:rFonts w:cstheme="minorHAnsi"/>
          <w:b/>
          <w:caps/>
          <w:color w:val="1F497D" w:themeColor="text2"/>
          <w:sz w:val="24"/>
          <w:szCs w:val="24"/>
        </w:rPr>
      </w:pPr>
      <w:r>
        <w:br w:type="page"/>
      </w:r>
    </w:p>
    <w:p w14:paraId="5C0574D4" w14:textId="25E0CB7C" w:rsidR="00700486" w:rsidRDefault="00571D36" w:rsidP="00700486">
      <w:pPr>
        <w:pStyle w:val="Heading2"/>
      </w:pPr>
      <w:r w:rsidRPr="00CF4E24">
        <w:lastRenderedPageBreak/>
        <w:t>Proposed Targets</w:t>
      </w:r>
      <w:r>
        <w:t xml:space="preserve"> –</w:t>
      </w:r>
      <w:r w:rsidR="00700486">
        <w:t xml:space="preserve"> Indicator </w:t>
      </w:r>
      <w:r w:rsidR="00700486" w:rsidRPr="003A46D0">
        <w:t>14c</w:t>
      </w:r>
    </w:p>
    <w:p w14:paraId="5EC110C5" w14:textId="0936AA03" w:rsidR="00700486" w:rsidRPr="00700486" w:rsidRDefault="00700486" w:rsidP="00571D36">
      <w:pPr>
        <w:pStyle w:val="ListParagraph"/>
        <w:numPr>
          <w:ilvl w:val="0"/>
          <w:numId w:val="16"/>
        </w:numPr>
      </w:pPr>
      <w:r>
        <w:t>Targets should be rigorous, yet attainable.</w:t>
      </w:r>
    </w:p>
    <w:p w14:paraId="008EFEF1" w14:textId="7A1A51CD" w:rsidR="00571D36" w:rsidRPr="0083583A" w:rsidRDefault="00571D36" w:rsidP="00571D36">
      <w:pPr>
        <w:pStyle w:val="ListParagraph"/>
        <w:numPr>
          <w:ilvl w:val="0"/>
          <w:numId w:val="16"/>
        </w:numPr>
      </w:pPr>
      <w:r w:rsidRPr="006B6B82">
        <w:rPr>
          <w:rFonts w:eastAsia="Times New Roman" w:cstheme="minorHAnsi"/>
          <w:color w:val="000000"/>
        </w:rPr>
        <w:t>Targets may remain the same several years in a row, though the final target year (2025-2026) must reflect improvement over baseline.</w:t>
      </w:r>
    </w:p>
    <w:p w14:paraId="08D71AB4" w14:textId="77777777" w:rsidR="00571D36" w:rsidRPr="006B6B82" w:rsidRDefault="00571D36" w:rsidP="00571D36">
      <w:pPr>
        <w:pStyle w:val="ListParagraph"/>
        <w:numPr>
          <w:ilvl w:val="0"/>
          <w:numId w:val="16"/>
        </w:numPr>
      </w:pPr>
      <w:r>
        <w:t>The goal for all components of indicator 14 is to be at or above the target.</w:t>
      </w:r>
    </w:p>
    <w:p w14:paraId="1BA36B7A" w14:textId="3B27AC8B" w:rsidR="003856B9" w:rsidRDefault="003856B9" w:rsidP="003856B9">
      <w:pPr>
        <w:pStyle w:val="Caption"/>
        <w:keepNext/>
      </w:pPr>
      <w:r>
        <w:t xml:space="preserve">Table </w:t>
      </w:r>
      <w:r>
        <w:fldChar w:fldCharType="begin"/>
      </w:r>
      <w:r>
        <w:instrText>SEQ Table \* ARABIC</w:instrText>
      </w:r>
      <w:r>
        <w:fldChar w:fldCharType="separate"/>
      </w:r>
      <w:r>
        <w:rPr>
          <w:noProof/>
        </w:rPr>
        <w:t>11</w:t>
      </w:r>
      <w:r>
        <w:fldChar w:fldCharType="end"/>
      </w:r>
      <w:r>
        <w:t>. Proposed Target Table Option A – Indicator 14c</w:t>
      </w:r>
    </w:p>
    <w:tbl>
      <w:tblPr>
        <w:tblStyle w:val="PlainTable1"/>
        <w:tblW w:w="5000" w:type="pct"/>
        <w:tblLook w:val="04A0" w:firstRow="1" w:lastRow="0" w:firstColumn="1" w:lastColumn="0" w:noHBand="0" w:noVBand="1"/>
        <w:tblCaption w:val="Proposed Target Table Option A Ind 14c"/>
        <w:tblDescription w:val="This table displays the first set of proposed target options, Option A, for indicator 14c."/>
      </w:tblPr>
      <w:tblGrid>
        <w:gridCol w:w="1954"/>
        <w:gridCol w:w="1039"/>
        <w:gridCol w:w="963"/>
        <w:gridCol w:w="1139"/>
        <w:gridCol w:w="1139"/>
        <w:gridCol w:w="1139"/>
        <w:gridCol w:w="1139"/>
        <w:gridCol w:w="1139"/>
        <w:gridCol w:w="1139"/>
      </w:tblGrid>
      <w:tr w:rsidR="00D13D50" w:rsidRPr="00781DC6" w14:paraId="0B5FC93B" w14:textId="77777777" w:rsidTr="00BB44AF">
        <w:trPr>
          <w:cnfStyle w:val="100000000000" w:firstRow="1" w:lastRow="0" w:firstColumn="0" w:lastColumn="0" w:oddVBand="0" w:evenVBand="0" w:oddHBand="0" w:evenHBand="0" w:firstRowFirstColumn="0" w:firstRowLastColumn="0" w:lastRowFirstColumn="0" w:lastRowLastColumn="0"/>
          <w:cantSplit/>
          <w:trHeight w:val="432"/>
          <w:tblHeader/>
        </w:trPr>
        <w:tc>
          <w:tcPr>
            <w:cnfStyle w:val="001000000000" w:firstRow="0" w:lastRow="0" w:firstColumn="1" w:lastColumn="0" w:oddVBand="0" w:evenVBand="0" w:oddHBand="0" w:evenHBand="0" w:firstRowFirstColumn="0" w:firstRowLastColumn="0" w:lastRowFirstColumn="0" w:lastRowLastColumn="0"/>
            <w:tcW w:w="905" w:type="pct"/>
          </w:tcPr>
          <w:p w14:paraId="464C248F" w14:textId="38026DBB" w:rsidR="00D13D50" w:rsidRPr="00781DC6" w:rsidRDefault="00D13D50" w:rsidP="00D03C9D">
            <w:pPr>
              <w:spacing w:after="0"/>
              <w:jc w:val="center"/>
            </w:pPr>
            <w:bookmarkStart w:id="12" w:name="Title_14c_Proposed_Targets_A"/>
            <w:bookmarkEnd w:id="12"/>
            <w:r>
              <w:t>Indicator 14c</w:t>
            </w:r>
          </w:p>
        </w:tc>
        <w:tc>
          <w:tcPr>
            <w:tcW w:w="481" w:type="pct"/>
          </w:tcPr>
          <w:p w14:paraId="615F645E" w14:textId="77777777" w:rsidR="00BB44AF" w:rsidRPr="00BB44AF" w:rsidRDefault="00BB44AF" w:rsidP="00BB44AF">
            <w:pPr>
              <w:spacing w:after="0"/>
              <w:jc w:val="center"/>
              <w:cnfStyle w:val="100000000000" w:firstRow="1" w:lastRow="0" w:firstColumn="0" w:lastColumn="0" w:oddVBand="0" w:evenVBand="0" w:oddHBand="0" w:evenHBand="0" w:firstRowFirstColumn="0" w:firstRowLastColumn="0" w:lastRowFirstColumn="0" w:lastRowLastColumn="0"/>
              <w:rPr>
                <w:sz w:val="16"/>
                <w:szCs w:val="16"/>
              </w:rPr>
            </w:pPr>
            <w:r w:rsidRPr="00BB44AF">
              <w:rPr>
                <w:sz w:val="16"/>
                <w:szCs w:val="16"/>
              </w:rPr>
              <w:t>2009-2010</w:t>
            </w:r>
          </w:p>
          <w:p w14:paraId="5179A692" w14:textId="239A4689" w:rsidR="00D13D50" w:rsidRPr="00FE1804" w:rsidRDefault="00D13D50" w:rsidP="00D03C9D">
            <w:pPr>
              <w:spacing w:after="0"/>
              <w:jc w:val="center"/>
              <w:cnfStyle w:val="100000000000" w:firstRow="1" w:lastRow="0" w:firstColumn="0" w:lastColumn="0" w:oddVBand="0" w:evenVBand="0" w:oddHBand="0" w:evenHBand="0" w:firstRowFirstColumn="0" w:firstRowLastColumn="0" w:lastRowFirstColumn="0" w:lastRowLastColumn="0"/>
              <w:rPr>
                <w:sz w:val="20"/>
                <w:szCs w:val="20"/>
              </w:rPr>
            </w:pPr>
            <w:r w:rsidRPr="00BB44AF">
              <w:rPr>
                <w:sz w:val="16"/>
                <w:szCs w:val="16"/>
              </w:rPr>
              <w:t>Baseline</w:t>
            </w:r>
          </w:p>
        </w:tc>
        <w:tc>
          <w:tcPr>
            <w:tcW w:w="446" w:type="pct"/>
          </w:tcPr>
          <w:p w14:paraId="7E42C7CC" w14:textId="77777777" w:rsidR="00BB44AF" w:rsidRPr="00BB44AF" w:rsidRDefault="00BB44AF" w:rsidP="00BB44AF">
            <w:pPr>
              <w:spacing w:after="0"/>
              <w:jc w:val="center"/>
              <w:cnfStyle w:val="100000000000" w:firstRow="1" w:lastRow="0" w:firstColumn="0" w:lastColumn="0" w:oddVBand="0" w:evenVBand="0" w:oddHBand="0" w:evenHBand="0" w:firstRowFirstColumn="0" w:firstRowLastColumn="0" w:lastRowFirstColumn="0" w:lastRowLastColumn="0"/>
              <w:rPr>
                <w:sz w:val="16"/>
                <w:szCs w:val="16"/>
              </w:rPr>
            </w:pPr>
            <w:r w:rsidRPr="00BB44AF">
              <w:rPr>
                <w:sz w:val="16"/>
                <w:szCs w:val="16"/>
              </w:rPr>
              <w:t>2019-2020</w:t>
            </w:r>
          </w:p>
          <w:p w14:paraId="42E6557A" w14:textId="62F7DE82" w:rsidR="00D13D50" w:rsidRPr="00FE1804" w:rsidRDefault="00D13D50" w:rsidP="00D03C9D">
            <w:pPr>
              <w:spacing w:after="0"/>
              <w:jc w:val="center"/>
              <w:cnfStyle w:val="100000000000" w:firstRow="1" w:lastRow="0" w:firstColumn="0" w:lastColumn="0" w:oddVBand="0" w:evenVBand="0" w:oddHBand="0" w:evenHBand="0" w:firstRowFirstColumn="0" w:firstRowLastColumn="0" w:lastRowFirstColumn="0" w:lastRowLastColumn="0"/>
              <w:rPr>
                <w:sz w:val="20"/>
                <w:szCs w:val="20"/>
              </w:rPr>
            </w:pPr>
            <w:r w:rsidRPr="00BB44AF">
              <w:rPr>
                <w:sz w:val="16"/>
                <w:szCs w:val="16"/>
              </w:rPr>
              <w:t>Data</w:t>
            </w:r>
          </w:p>
        </w:tc>
        <w:tc>
          <w:tcPr>
            <w:tcW w:w="528" w:type="pct"/>
          </w:tcPr>
          <w:p w14:paraId="1BEEDECF" w14:textId="77777777" w:rsidR="00BB44AF" w:rsidRPr="00BB44AF" w:rsidRDefault="00BB44AF" w:rsidP="00BB44AF">
            <w:pPr>
              <w:spacing w:after="0"/>
              <w:jc w:val="center"/>
              <w:cnfStyle w:val="100000000000" w:firstRow="1" w:lastRow="0" w:firstColumn="0" w:lastColumn="0" w:oddVBand="0" w:evenVBand="0" w:oddHBand="0" w:evenHBand="0" w:firstRowFirstColumn="0" w:firstRowLastColumn="0" w:lastRowFirstColumn="0" w:lastRowLastColumn="0"/>
              <w:rPr>
                <w:sz w:val="16"/>
                <w:szCs w:val="16"/>
              </w:rPr>
            </w:pPr>
            <w:r w:rsidRPr="00BB44AF">
              <w:rPr>
                <w:sz w:val="16"/>
                <w:szCs w:val="16"/>
              </w:rPr>
              <w:t>2020-2021</w:t>
            </w:r>
          </w:p>
          <w:p w14:paraId="11CBDBCC" w14:textId="35E67B4C" w:rsidR="00D13D50" w:rsidRPr="00FE1804" w:rsidRDefault="00D13D50" w:rsidP="00D03C9D">
            <w:pPr>
              <w:spacing w:after="0"/>
              <w:jc w:val="center"/>
              <w:cnfStyle w:val="100000000000" w:firstRow="1" w:lastRow="0" w:firstColumn="0" w:lastColumn="0" w:oddVBand="0" w:evenVBand="0" w:oddHBand="0" w:evenHBand="0" w:firstRowFirstColumn="0" w:firstRowLastColumn="0" w:lastRowFirstColumn="0" w:lastRowLastColumn="0"/>
              <w:rPr>
                <w:sz w:val="20"/>
                <w:szCs w:val="20"/>
              </w:rPr>
            </w:pPr>
            <w:r w:rsidRPr="00BB44AF">
              <w:rPr>
                <w:sz w:val="16"/>
                <w:szCs w:val="16"/>
              </w:rPr>
              <w:t>Proposed Target</w:t>
            </w:r>
          </w:p>
        </w:tc>
        <w:tc>
          <w:tcPr>
            <w:tcW w:w="528" w:type="pct"/>
          </w:tcPr>
          <w:p w14:paraId="54BBCD17" w14:textId="4CBF9DF0" w:rsidR="00D13D50" w:rsidRPr="00FE1804" w:rsidRDefault="00D13D50" w:rsidP="00D03C9D">
            <w:pPr>
              <w:spacing w:after="0"/>
              <w:jc w:val="center"/>
              <w:cnfStyle w:val="100000000000" w:firstRow="1" w:lastRow="0" w:firstColumn="0" w:lastColumn="0" w:oddVBand="0" w:evenVBand="0" w:oddHBand="0" w:evenHBand="0" w:firstRowFirstColumn="0" w:firstRowLastColumn="0" w:lastRowFirstColumn="0" w:lastRowLastColumn="0"/>
              <w:rPr>
                <w:sz w:val="20"/>
                <w:szCs w:val="20"/>
              </w:rPr>
            </w:pPr>
            <w:r w:rsidRPr="00BB44AF">
              <w:rPr>
                <w:sz w:val="16"/>
                <w:szCs w:val="16"/>
              </w:rPr>
              <w:t>2021-</w:t>
            </w:r>
            <w:r w:rsidR="00BB44AF" w:rsidRPr="00BB44AF">
              <w:rPr>
                <w:sz w:val="16"/>
                <w:szCs w:val="16"/>
              </w:rPr>
              <w:t>2022</w:t>
            </w:r>
            <w:r w:rsidRPr="00BB44AF">
              <w:rPr>
                <w:sz w:val="16"/>
                <w:szCs w:val="16"/>
              </w:rPr>
              <w:t xml:space="preserve"> Proposed Target</w:t>
            </w:r>
          </w:p>
        </w:tc>
        <w:tc>
          <w:tcPr>
            <w:tcW w:w="528" w:type="pct"/>
          </w:tcPr>
          <w:p w14:paraId="43B7DD19" w14:textId="19A093E5" w:rsidR="00D13D50" w:rsidRPr="00FE1804" w:rsidRDefault="00D13D50" w:rsidP="00D03C9D">
            <w:pPr>
              <w:spacing w:after="0"/>
              <w:jc w:val="center"/>
              <w:cnfStyle w:val="100000000000" w:firstRow="1" w:lastRow="0" w:firstColumn="0" w:lastColumn="0" w:oddVBand="0" w:evenVBand="0" w:oddHBand="0" w:evenHBand="0" w:firstRowFirstColumn="0" w:firstRowLastColumn="0" w:lastRowFirstColumn="0" w:lastRowLastColumn="0"/>
              <w:rPr>
                <w:sz w:val="20"/>
                <w:szCs w:val="20"/>
              </w:rPr>
            </w:pPr>
            <w:r w:rsidRPr="00BB44AF">
              <w:rPr>
                <w:sz w:val="16"/>
                <w:szCs w:val="16"/>
              </w:rPr>
              <w:t>2022-</w:t>
            </w:r>
            <w:r w:rsidR="00BB44AF" w:rsidRPr="00BB44AF">
              <w:rPr>
                <w:sz w:val="16"/>
                <w:szCs w:val="16"/>
              </w:rPr>
              <w:t>2023</w:t>
            </w:r>
            <w:r w:rsidRPr="00BB44AF">
              <w:rPr>
                <w:sz w:val="16"/>
                <w:szCs w:val="16"/>
              </w:rPr>
              <w:t xml:space="preserve"> Proposed Target</w:t>
            </w:r>
          </w:p>
        </w:tc>
        <w:tc>
          <w:tcPr>
            <w:tcW w:w="528" w:type="pct"/>
          </w:tcPr>
          <w:p w14:paraId="7FA9D794" w14:textId="51197203" w:rsidR="00D13D50" w:rsidRPr="00FE1804" w:rsidRDefault="00D13D50" w:rsidP="00D03C9D">
            <w:pPr>
              <w:spacing w:after="0"/>
              <w:jc w:val="center"/>
              <w:cnfStyle w:val="100000000000" w:firstRow="1" w:lastRow="0" w:firstColumn="0" w:lastColumn="0" w:oddVBand="0" w:evenVBand="0" w:oddHBand="0" w:evenHBand="0" w:firstRowFirstColumn="0" w:firstRowLastColumn="0" w:lastRowFirstColumn="0" w:lastRowLastColumn="0"/>
              <w:rPr>
                <w:sz w:val="20"/>
                <w:szCs w:val="20"/>
              </w:rPr>
            </w:pPr>
            <w:r w:rsidRPr="00BB44AF">
              <w:rPr>
                <w:sz w:val="16"/>
                <w:szCs w:val="16"/>
              </w:rPr>
              <w:t>2023-</w:t>
            </w:r>
            <w:r w:rsidR="00BB44AF" w:rsidRPr="00BB44AF">
              <w:rPr>
                <w:sz w:val="16"/>
                <w:szCs w:val="16"/>
              </w:rPr>
              <w:t>2024</w:t>
            </w:r>
            <w:r w:rsidRPr="00BB44AF">
              <w:rPr>
                <w:sz w:val="16"/>
                <w:szCs w:val="16"/>
              </w:rPr>
              <w:t xml:space="preserve"> Proposed Target</w:t>
            </w:r>
          </w:p>
        </w:tc>
        <w:tc>
          <w:tcPr>
            <w:tcW w:w="528" w:type="pct"/>
          </w:tcPr>
          <w:p w14:paraId="31C03E41" w14:textId="6EDE7E32" w:rsidR="00D13D50" w:rsidRPr="00FE1804" w:rsidRDefault="00D13D50" w:rsidP="00D03C9D">
            <w:pPr>
              <w:spacing w:after="0"/>
              <w:jc w:val="center"/>
              <w:cnfStyle w:val="100000000000" w:firstRow="1" w:lastRow="0" w:firstColumn="0" w:lastColumn="0" w:oddVBand="0" w:evenVBand="0" w:oddHBand="0" w:evenHBand="0" w:firstRowFirstColumn="0" w:firstRowLastColumn="0" w:lastRowFirstColumn="0" w:lastRowLastColumn="0"/>
              <w:rPr>
                <w:sz w:val="20"/>
                <w:szCs w:val="20"/>
              </w:rPr>
            </w:pPr>
            <w:r w:rsidRPr="00BB44AF">
              <w:rPr>
                <w:sz w:val="16"/>
                <w:szCs w:val="16"/>
              </w:rPr>
              <w:t>2024-</w:t>
            </w:r>
            <w:r w:rsidR="00BB44AF" w:rsidRPr="00BB44AF">
              <w:rPr>
                <w:sz w:val="16"/>
                <w:szCs w:val="16"/>
              </w:rPr>
              <w:t>2025</w:t>
            </w:r>
            <w:r w:rsidRPr="00BB44AF">
              <w:rPr>
                <w:sz w:val="16"/>
                <w:szCs w:val="16"/>
              </w:rPr>
              <w:t xml:space="preserve"> Proposed Target</w:t>
            </w:r>
          </w:p>
        </w:tc>
        <w:tc>
          <w:tcPr>
            <w:tcW w:w="528" w:type="pct"/>
          </w:tcPr>
          <w:p w14:paraId="37211643" w14:textId="4CBB6A1F" w:rsidR="00D13D50" w:rsidRPr="00FE1804" w:rsidRDefault="00D13D50" w:rsidP="00D03C9D">
            <w:pPr>
              <w:spacing w:after="0"/>
              <w:jc w:val="center"/>
              <w:cnfStyle w:val="100000000000" w:firstRow="1" w:lastRow="0" w:firstColumn="0" w:lastColumn="0" w:oddVBand="0" w:evenVBand="0" w:oddHBand="0" w:evenHBand="0" w:firstRowFirstColumn="0" w:firstRowLastColumn="0" w:lastRowFirstColumn="0" w:lastRowLastColumn="0"/>
              <w:rPr>
                <w:sz w:val="20"/>
                <w:szCs w:val="20"/>
              </w:rPr>
            </w:pPr>
            <w:r w:rsidRPr="00BB44AF">
              <w:rPr>
                <w:sz w:val="16"/>
                <w:szCs w:val="16"/>
              </w:rPr>
              <w:t>2025-</w:t>
            </w:r>
            <w:r w:rsidR="00BB44AF" w:rsidRPr="00BB44AF">
              <w:rPr>
                <w:sz w:val="16"/>
                <w:szCs w:val="16"/>
              </w:rPr>
              <w:t>2026</w:t>
            </w:r>
            <w:r w:rsidRPr="00BB44AF">
              <w:rPr>
                <w:sz w:val="16"/>
                <w:szCs w:val="16"/>
              </w:rPr>
              <w:t xml:space="preserve"> Proposed Target</w:t>
            </w:r>
          </w:p>
        </w:tc>
      </w:tr>
      <w:tr w:rsidR="00D13D50" w14:paraId="3A2DF2BC" w14:textId="77777777" w:rsidTr="00C76D53">
        <w:trPr>
          <w:cnfStyle w:val="000000100000" w:firstRow="0" w:lastRow="0" w:firstColumn="0" w:lastColumn="0" w:oddVBand="0" w:evenVBand="0" w:oddHBand="1" w:evenHBand="0" w:firstRowFirstColumn="0" w:firstRowLastColumn="0" w:lastRowFirstColumn="0" w:lastRowLastColumn="0"/>
          <w:cantSplit/>
          <w:trHeight w:val="432"/>
        </w:trPr>
        <w:tc>
          <w:tcPr>
            <w:cnfStyle w:val="001000000000" w:firstRow="0" w:lastRow="0" w:firstColumn="1" w:lastColumn="0" w:oddVBand="0" w:evenVBand="0" w:oddHBand="0" w:evenHBand="0" w:firstRowFirstColumn="0" w:firstRowLastColumn="0" w:lastRowFirstColumn="0" w:lastRowLastColumn="0"/>
            <w:tcW w:w="905" w:type="pct"/>
            <w:vAlign w:val="center"/>
          </w:tcPr>
          <w:p w14:paraId="74B79B72" w14:textId="199068B9" w:rsidR="00D13D50" w:rsidRPr="00D13D50" w:rsidRDefault="00D13D50" w:rsidP="00D13D50">
            <w:pPr>
              <w:spacing w:after="0"/>
              <w:jc w:val="center"/>
              <w:rPr>
                <w:b w:val="0"/>
                <w:bCs w:val="0"/>
                <w:sz w:val="20"/>
                <w:szCs w:val="20"/>
              </w:rPr>
            </w:pPr>
            <w:r w:rsidRPr="00BB44AF">
              <w:rPr>
                <w:b w:val="0"/>
                <w:sz w:val="18"/>
                <w:szCs w:val="18"/>
              </w:rPr>
              <w:t>14c: Percentage of youth with IEPs enrolled in higher education or in some other postsecondary education or training program or competitively employed or in some other employment within one year of leaving high school</w:t>
            </w:r>
          </w:p>
        </w:tc>
        <w:tc>
          <w:tcPr>
            <w:tcW w:w="481" w:type="pct"/>
            <w:vAlign w:val="center"/>
          </w:tcPr>
          <w:p w14:paraId="42D35B66" w14:textId="51BE760F" w:rsidR="00D13D50" w:rsidRDefault="00D13D50" w:rsidP="00C76D53">
            <w:pPr>
              <w:spacing w:after="0"/>
              <w:jc w:val="center"/>
              <w:cnfStyle w:val="000000100000" w:firstRow="0" w:lastRow="0" w:firstColumn="0" w:lastColumn="0" w:oddVBand="0" w:evenVBand="0" w:oddHBand="1" w:evenHBand="0" w:firstRowFirstColumn="0" w:firstRowLastColumn="0" w:lastRowFirstColumn="0" w:lastRowLastColumn="0"/>
            </w:pPr>
            <w:r>
              <w:t>66.60%</w:t>
            </w:r>
          </w:p>
        </w:tc>
        <w:tc>
          <w:tcPr>
            <w:tcW w:w="446" w:type="pct"/>
            <w:vAlign w:val="center"/>
          </w:tcPr>
          <w:p w14:paraId="416642FA" w14:textId="02A5070D" w:rsidR="00D13D50" w:rsidRDefault="00D13D50" w:rsidP="00C76D53">
            <w:pPr>
              <w:spacing w:after="0"/>
              <w:jc w:val="center"/>
              <w:cnfStyle w:val="000000100000" w:firstRow="0" w:lastRow="0" w:firstColumn="0" w:lastColumn="0" w:oddVBand="0" w:evenVBand="0" w:oddHBand="1" w:evenHBand="0" w:firstRowFirstColumn="0" w:firstRowLastColumn="0" w:lastRowFirstColumn="0" w:lastRowLastColumn="0"/>
            </w:pPr>
            <w:r>
              <w:t>86.35%</w:t>
            </w:r>
          </w:p>
        </w:tc>
        <w:tc>
          <w:tcPr>
            <w:tcW w:w="528" w:type="pct"/>
            <w:vAlign w:val="center"/>
          </w:tcPr>
          <w:p w14:paraId="0B245261" w14:textId="3E246A93" w:rsidR="00D13D50" w:rsidRDefault="00D13D50" w:rsidP="00C76D53">
            <w:pPr>
              <w:spacing w:after="0"/>
              <w:jc w:val="center"/>
              <w:cnfStyle w:val="000000100000" w:firstRow="0" w:lastRow="0" w:firstColumn="0" w:lastColumn="0" w:oddVBand="0" w:evenVBand="0" w:oddHBand="1" w:evenHBand="0" w:firstRowFirstColumn="0" w:firstRowLastColumn="0" w:lastRowFirstColumn="0" w:lastRowLastColumn="0"/>
            </w:pPr>
            <w:r>
              <w:t>86.35%</w:t>
            </w:r>
          </w:p>
        </w:tc>
        <w:tc>
          <w:tcPr>
            <w:tcW w:w="528" w:type="pct"/>
            <w:vAlign w:val="center"/>
          </w:tcPr>
          <w:p w14:paraId="0B7919C0" w14:textId="6557A655" w:rsidR="00D13D50" w:rsidRDefault="00D13D50" w:rsidP="00C76D53">
            <w:pPr>
              <w:spacing w:after="0"/>
              <w:jc w:val="center"/>
              <w:cnfStyle w:val="000000100000" w:firstRow="0" w:lastRow="0" w:firstColumn="0" w:lastColumn="0" w:oddVBand="0" w:evenVBand="0" w:oddHBand="1" w:evenHBand="0" w:firstRowFirstColumn="0" w:firstRowLastColumn="0" w:lastRowFirstColumn="0" w:lastRowLastColumn="0"/>
            </w:pPr>
            <w:r>
              <w:t>87.00%</w:t>
            </w:r>
          </w:p>
        </w:tc>
        <w:tc>
          <w:tcPr>
            <w:tcW w:w="528" w:type="pct"/>
            <w:vAlign w:val="center"/>
          </w:tcPr>
          <w:p w14:paraId="3FDD8B4E" w14:textId="66303DCD" w:rsidR="00D13D50" w:rsidRDefault="00D13D50" w:rsidP="00C76D53">
            <w:pPr>
              <w:spacing w:after="0"/>
              <w:jc w:val="center"/>
              <w:cnfStyle w:val="000000100000" w:firstRow="0" w:lastRow="0" w:firstColumn="0" w:lastColumn="0" w:oddVBand="0" w:evenVBand="0" w:oddHBand="1" w:evenHBand="0" w:firstRowFirstColumn="0" w:firstRowLastColumn="0" w:lastRowFirstColumn="0" w:lastRowLastColumn="0"/>
            </w:pPr>
            <w:r>
              <w:t>88.00%</w:t>
            </w:r>
          </w:p>
        </w:tc>
        <w:tc>
          <w:tcPr>
            <w:tcW w:w="528" w:type="pct"/>
            <w:vAlign w:val="center"/>
          </w:tcPr>
          <w:p w14:paraId="3135FDC9" w14:textId="4EC3AF40" w:rsidR="00D13D50" w:rsidRDefault="00D13D50" w:rsidP="00C76D53">
            <w:pPr>
              <w:spacing w:after="0"/>
              <w:jc w:val="center"/>
              <w:cnfStyle w:val="000000100000" w:firstRow="0" w:lastRow="0" w:firstColumn="0" w:lastColumn="0" w:oddVBand="0" w:evenVBand="0" w:oddHBand="1" w:evenHBand="0" w:firstRowFirstColumn="0" w:firstRowLastColumn="0" w:lastRowFirstColumn="0" w:lastRowLastColumn="0"/>
            </w:pPr>
            <w:r>
              <w:t>89.00%</w:t>
            </w:r>
          </w:p>
        </w:tc>
        <w:tc>
          <w:tcPr>
            <w:tcW w:w="528" w:type="pct"/>
            <w:vAlign w:val="center"/>
          </w:tcPr>
          <w:p w14:paraId="7F55E8AC" w14:textId="27957AE0" w:rsidR="00D13D50" w:rsidRDefault="00D13D50" w:rsidP="00C76D53">
            <w:pPr>
              <w:spacing w:after="0"/>
              <w:jc w:val="center"/>
              <w:cnfStyle w:val="000000100000" w:firstRow="0" w:lastRow="0" w:firstColumn="0" w:lastColumn="0" w:oddVBand="0" w:evenVBand="0" w:oddHBand="1" w:evenHBand="0" w:firstRowFirstColumn="0" w:firstRowLastColumn="0" w:lastRowFirstColumn="0" w:lastRowLastColumn="0"/>
            </w:pPr>
            <w:r>
              <w:t>90.00%</w:t>
            </w:r>
          </w:p>
        </w:tc>
        <w:tc>
          <w:tcPr>
            <w:tcW w:w="528" w:type="pct"/>
            <w:vAlign w:val="center"/>
          </w:tcPr>
          <w:p w14:paraId="1DCC1AD4" w14:textId="50886396" w:rsidR="00D13D50" w:rsidRDefault="00D13D50" w:rsidP="00C76D53">
            <w:pPr>
              <w:spacing w:after="0"/>
              <w:jc w:val="center"/>
              <w:cnfStyle w:val="000000100000" w:firstRow="0" w:lastRow="0" w:firstColumn="0" w:lastColumn="0" w:oddVBand="0" w:evenVBand="0" w:oddHBand="1" w:evenHBand="0" w:firstRowFirstColumn="0" w:firstRowLastColumn="0" w:lastRowFirstColumn="0" w:lastRowLastColumn="0"/>
            </w:pPr>
            <w:r>
              <w:t>91.00%</w:t>
            </w:r>
          </w:p>
        </w:tc>
      </w:tr>
    </w:tbl>
    <w:p w14:paraId="04EAB4F4" w14:textId="2AA2B408" w:rsidR="00864206" w:rsidRDefault="00864206" w:rsidP="00864206">
      <w:pPr>
        <w:pStyle w:val="Heading3"/>
      </w:pPr>
      <w:r w:rsidRPr="00CF4E24">
        <w:rPr>
          <w:rFonts w:eastAsiaTheme="minorHAnsi"/>
        </w:rPr>
        <w:t xml:space="preserve">Option </w:t>
      </w:r>
      <w:r>
        <w:rPr>
          <w:rFonts w:eastAsiaTheme="minorHAnsi"/>
        </w:rPr>
        <w:t>A</w:t>
      </w:r>
      <w:r w:rsidRPr="00CF4E24">
        <w:rPr>
          <w:rFonts w:eastAsiaTheme="minorHAnsi"/>
        </w:rPr>
        <w:t xml:space="preserve"> Rationale</w:t>
      </w:r>
      <w:r w:rsidR="00700486">
        <w:rPr>
          <w:rFonts w:eastAsiaTheme="minorHAnsi"/>
        </w:rPr>
        <w:t xml:space="preserve"> – Indicator </w:t>
      </w:r>
      <w:r w:rsidR="00700486" w:rsidRPr="003A46D0">
        <w:t>14c</w:t>
      </w:r>
    </w:p>
    <w:p w14:paraId="09031D6C" w14:textId="402A6DB2" w:rsidR="003856B9" w:rsidRPr="00D76732" w:rsidRDefault="003856B9" w:rsidP="00BB44AF">
      <w:pPr>
        <w:pStyle w:val="ListParagraph"/>
        <w:numPr>
          <w:ilvl w:val="0"/>
          <w:numId w:val="40"/>
        </w:numPr>
        <w:rPr>
          <w:rFonts w:cs="Arial"/>
        </w:rPr>
      </w:pPr>
      <w:r w:rsidRPr="00D76732">
        <w:rPr>
          <w:rFonts w:cs="Arial"/>
        </w:rPr>
        <w:t>With the strategies, initiatives and legislation described under the Programmatic Considerations on p</w:t>
      </w:r>
      <w:r w:rsidR="00D90CD6">
        <w:rPr>
          <w:rFonts w:cs="Arial"/>
        </w:rPr>
        <w:t xml:space="preserve">ages </w:t>
      </w:r>
      <w:r w:rsidRPr="00D76732">
        <w:rPr>
          <w:rFonts w:cs="Arial"/>
        </w:rPr>
        <w:t xml:space="preserve">9-10, the </w:t>
      </w:r>
      <w:r w:rsidR="00D90CD6">
        <w:rPr>
          <w:rFonts w:cs="Arial"/>
        </w:rPr>
        <w:t xml:space="preserve">Ohio </w:t>
      </w:r>
      <w:r w:rsidRPr="00D76732">
        <w:rPr>
          <w:rFonts w:cs="Arial"/>
        </w:rPr>
        <w:t xml:space="preserve">Department </w:t>
      </w:r>
      <w:r w:rsidR="00D90CD6">
        <w:rPr>
          <w:rFonts w:cs="Arial"/>
        </w:rPr>
        <w:t xml:space="preserve">of Education </w:t>
      </w:r>
      <w:r w:rsidRPr="00D76732">
        <w:rPr>
          <w:rFonts w:cs="Arial"/>
        </w:rPr>
        <w:t xml:space="preserve">expects consistent growth over the course of the upcoming target years. </w:t>
      </w:r>
    </w:p>
    <w:p w14:paraId="3EE15506" w14:textId="5B6DBD73" w:rsidR="003856B9" w:rsidRPr="00D76732" w:rsidRDefault="003856B9" w:rsidP="00BB44AF">
      <w:pPr>
        <w:pStyle w:val="ListParagraph"/>
        <w:numPr>
          <w:ilvl w:val="0"/>
          <w:numId w:val="40"/>
        </w:numPr>
        <w:rPr>
          <w:rFonts w:cs="Arial"/>
        </w:rPr>
      </w:pPr>
      <w:r w:rsidRPr="00D76732">
        <w:rPr>
          <w:rStyle w:val="normaltextrun"/>
          <w:rFonts w:cs="Arial"/>
          <w:color w:val="000000"/>
        </w:rPr>
        <w:t>In comparison to Ohio’s 2019-</w:t>
      </w:r>
      <w:r w:rsidR="00D90CD6">
        <w:rPr>
          <w:rStyle w:val="normaltextrun"/>
          <w:rFonts w:cs="Arial"/>
          <w:color w:val="000000"/>
        </w:rPr>
        <w:t>20</w:t>
      </w:r>
      <w:r w:rsidRPr="00D76732">
        <w:rPr>
          <w:rStyle w:val="normaltextrun"/>
          <w:rFonts w:cs="Arial"/>
          <w:color w:val="000000"/>
        </w:rPr>
        <w:t>20 performance, m</w:t>
      </w:r>
      <w:r w:rsidRPr="00D76732">
        <w:rPr>
          <w:rFonts w:cs="Arial"/>
        </w:rPr>
        <w:t>eeting the final target of 91% by 2025-</w:t>
      </w:r>
      <w:r w:rsidR="00D90CD6">
        <w:rPr>
          <w:rFonts w:cs="Arial"/>
        </w:rPr>
        <w:t>20</w:t>
      </w:r>
      <w:r w:rsidRPr="00D76732">
        <w:rPr>
          <w:rFonts w:cs="Arial"/>
        </w:rPr>
        <w:t xml:space="preserve">26 will require </w:t>
      </w:r>
      <w:r w:rsidRPr="00D76732">
        <w:rPr>
          <w:rFonts w:cs="Arial"/>
          <w:b/>
          <w:bCs/>
        </w:rPr>
        <w:t>49</w:t>
      </w:r>
      <w:r w:rsidRPr="00D76732">
        <w:rPr>
          <w:rFonts w:cs="Arial"/>
        </w:rPr>
        <w:t xml:space="preserve"> more students with disabilities within the survey sample to enroll in higher education or in some other postsecondary education or training program or be competitively employed or in some other employment within one year of leaving high school.</w:t>
      </w:r>
    </w:p>
    <w:p w14:paraId="2D2B2718" w14:textId="0FB147E4" w:rsidR="003856B9" w:rsidRDefault="003856B9" w:rsidP="003856B9">
      <w:pPr>
        <w:pStyle w:val="Caption"/>
        <w:keepNext/>
      </w:pPr>
      <w:r>
        <w:t xml:space="preserve">Table </w:t>
      </w:r>
      <w:r>
        <w:fldChar w:fldCharType="begin"/>
      </w:r>
      <w:r>
        <w:instrText>SEQ Table \* ARABIC</w:instrText>
      </w:r>
      <w:r>
        <w:fldChar w:fldCharType="separate"/>
      </w:r>
      <w:r>
        <w:rPr>
          <w:noProof/>
        </w:rPr>
        <w:t>12</w:t>
      </w:r>
      <w:r>
        <w:fldChar w:fldCharType="end"/>
      </w:r>
      <w:r>
        <w:t>. Proposed Target Table Option B – Indicator 14c</w:t>
      </w:r>
    </w:p>
    <w:tbl>
      <w:tblPr>
        <w:tblStyle w:val="PlainTable1"/>
        <w:tblW w:w="5000" w:type="pct"/>
        <w:tblLook w:val="04A0" w:firstRow="1" w:lastRow="0" w:firstColumn="1" w:lastColumn="0" w:noHBand="0" w:noVBand="1"/>
        <w:tblCaption w:val="Proposed Target Table Option B Ind 14c"/>
        <w:tblDescription w:val="This table displays the second set of proposed target options, Option B, for indicator 14c."/>
      </w:tblPr>
      <w:tblGrid>
        <w:gridCol w:w="2600"/>
        <w:gridCol w:w="1023"/>
        <w:gridCol w:w="1025"/>
        <w:gridCol w:w="1025"/>
        <w:gridCol w:w="1025"/>
        <w:gridCol w:w="1023"/>
        <w:gridCol w:w="1025"/>
        <w:gridCol w:w="1025"/>
        <w:gridCol w:w="1019"/>
      </w:tblGrid>
      <w:tr w:rsidR="003856B9" w:rsidRPr="00781DC6" w14:paraId="79C717D7" w14:textId="77777777" w:rsidTr="00BB44AF">
        <w:trPr>
          <w:cnfStyle w:val="100000000000" w:firstRow="1" w:lastRow="0" w:firstColumn="0" w:lastColumn="0" w:oddVBand="0" w:evenVBand="0" w:oddHBand="0" w:evenHBand="0" w:firstRowFirstColumn="0" w:firstRowLastColumn="0" w:lastRowFirstColumn="0" w:lastRowLastColumn="0"/>
          <w:cantSplit/>
          <w:trHeight w:val="432"/>
          <w:tblHeader/>
        </w:trPr>
        <w:tc>
          <w:tcPr>
            <w:cnfStyle w:val="001000000000" w:firstRow="0" w:lastRow="0" w:firstColumn="1" w:lastColumn="0" w:oddVBand="0" w:evenVBand="0" w:oddHBand="0" w:evenHBand="0" w:firstRowFirstColumn="0" w:firstRowLastColumn="0" w:lastRowFirstColumn="0" w:lastRowLastColumn="0"/>
            <w:tcW w:w="1205" w:type="pct"/>
          </w:tcPr>
          <w:p w14:paraId="42647B82" w14:textId="77777777" w:rsidR="003856B9" w:rsidRPr="00781DC6" w:rsidRDefault="003856B9" w:rsidP="00D03C9D">
            <w:pPr>
              <w:spacing w:after="0"/>
              <w:jc w:val="center"/>
            </w:pPr>
            <w:bookmarkStart w:id="13" w:name="Title_14c_Proposed_Targets_B"/>
            <w:bookmarkEnd w:id="13"/>
            <w:r>
              <w:t>Indicator 14c</w:t>
            </w:r>
          </w:p>
        </w:tc>
        <w:tc>
          <w:tcPr>
            <w:tcW w:w="474" w:type="pct"/>
          </w:tcPr>
          <w:p w14:paraId="23E303C5" w14:textId="584CF500" w:rsidR="003856B9" w:rsidRPr="00BB44AF" w:rsidRDefault="003856B9" w:rsidP="00D03C9D">
            <w:pPr>
              <w:spacing w:after="0"/>
              <w:jc w:val="center"/>
              <w:cnfStyle w:val="100000000000" w:firstRow="1" w:lastRow="0" w:firstColumn="0" w:lastColumn="0" w:oddVBand="0" w:evenVBand="0" w:oddHBand="0" w:evenHBand="0" w:firstRowFirstColumn="0" w:firstRowLastColumn="0" w:lastRowFirstColumn="0" w:lastRowLastColumn="0"/>
              <w:rPr>
                <w:sz w:val="16"/>
                <w:szCs w:val="16"/>
              </w:rPr>
            </w:pPr>
            <w:r w:rsidRPr="00BB44AF">
              <w:rPr>
                <w:sz w:val="16"/>
                <w:szCs w:val="16"/>
              </w:rPr>
              <w:t>2009-</w:t>
            </w:r>
            <w:r w:rsidR="00EF6CC2" w:rsidRPr="00BB44AF">
              <w:rPr>
                <w:sz w:val="16"/>
                <w:szCs w:val="16"/>
              </w:rPr>
              <w:t>20</w:t>
            </w:r>
            <w:r w:rsidRPr="00BB44AF">
              <w:rPr>
                <w:sz w:val="16"/>
                <w:szCs w:val="16"/>
              </w:rPr>
              <w:t>10</w:t>
            </w:r>
          </w:p>
          <w:p w14:paraId="5714525D" w14:textId="77777777" w:rsidR="003856B9" w:rsidRPr="00BB44AF" w:rsidRDefault="003856B9" w:rsidP="00D03C9D">
            <w:pPr>
              <w:spacing w:after="0"/>
              <w:jc w:val="center"/>
              <w:cnfStyle w:val="100000000000" w:firstRow="1" w:lastRow="0" w:firstColumn="0" w:lastColumn="0" w:oddVBand="0" w:evenVBand="0" w:oddHBand="0" w:evenHBand="0" w:firstRowFirstColumn="0" w:firstRowLastColumn="0" w:lastRowFirstColumn="0" w:lastRowLastColumn="0"/>
              <w:rPr>
                <w:sz w:val="16"/>
                <w:szCs w:val="16"/>
              </w:rPr>
            </w:pPr>
            <w:r w:rsidRPr="00BB44AF">
              <w:rPr>
                <w:sz w:val="16"/>
                <w:szCs w:val="16"/>
              </w:rPr>
              <w:t>Baseline</w:t>
            </w:r>
          </w:p>
        </w:tc>
        <w:tc>
          <w:tcPr>
            <w:tcW w:w="475" w:type="pct"/>
          </w:tcPr>
          <w:p w14:paraId="41A8A3A9" w14:textId="1D454CC4" w:rsidR="003856B9" w:rsidRPr="00BB44AF" w:rsidRDefault="003856B9" w:rsidP="00D03C9D">
            <w:pPr>
              <w:spacing w:after="0"/>
              <w:jc w:val="center"/>
              <w:cnfStyle w:val="100000000000" w:firstRow="1" w:lastRow="0" w:firstColumn="0" w:lastColumn="0" w:oddVBand="0" w:evenVBand="0" w:oddHBand="0" w:evenHBand="0" w:firstRowFirstColumn="0" w:firstRowLastColumn="0" w:lastRowFirstColumn="0" w:lastRowLastColumn="0"/>
              <w:rPr>
                <w:sz w:val="16"/>
                <w:szCs w:val="16"/>
              </w:rPr>
            </w:pPr>
            <w:r w:rsidRPr="00BB44AF">
              <w:rPr>
                <w:sz w:val="16"/>
                <w:szCs w:val="16"/>
              </w:rPr>
              <w:t>2019-</w:t>
            </w:r>
            <w:r w:rsidR="00EF6CC2" w:rsidRPr="00BB44AF">
              <w:rPr>
                <w:sz w:val="16"/>
                <w:szCs w:val="16"/>
              </w:rPr>
              <w:t>20</w:t>
            </w:r>
            <w:r w:rsidRPr="00BB44AF">
              <w:rPr>
                <w:sz w:val="16"/>
                <w:szCs w:val="16"/>
              </w:rPr>
              <w:t>20</w:t>
            </w:r>
          </w:p>
          <w:p w14:paraId="7D9B571E" w14:textId="77777777" w:rsidR="003856B9" w:rsidRPr="00BB44AF" w:rsidRDefault="003856B9" w:rsidP="00D03C9D">
            <w:pPr>
              <w:spacing w:after="0"/>
              <w:jc w:val="center"/>
              <w:cnfStyle w:val="100000000000" w:firstRow="1" w:lastRow="0" w:firstColumn="0" w:lastColumn="0" w:oddVBand="0" w:evenVBand="0" w:oddHBand="0" w:evenHBand="0" w:firstRowFirstColumn="0" w:firstRowLastColumn="0" w:lastRowFirstColumn="0" w:lastRowLastColumn="0"/>
              <w:rPr>
                <w:sz w:val="16"/>
                <w:szCs w:val="16"/>
              </w:rPr>
            </w:pPr>
            <w:r w:rsidRPr="00BB44AF">
              <w:rPr>
                <w:sz w:val="16"/>
                <w:szCs w:val="16"/>
              </w:rPr>
              <w:t>Data</w:t>
            </w:r>
          </w:p>
        </w:tc>
        <w:tc>
          <w:tcPr>
            <w:tcW w:w="475" w:type="pct"/>
          </w:tcPr>
          <w:p w14:paraId="4B6A1A1A" w14:textId="51D1AA03" w:rsidR="003856B9" w:rsidRPr="00BB44AF" w:rsidRDefault="003856B9" w:rsidP="00D03C9D">
            <w:pPr>
              <w:spacing w:after="0"/>
              <w:jc w:val="center"/>
              <w:cnfStyle w:val="100000000000" w:firstRow="1" w:lastRow="0" w:firstColumn="0" w:lastColumn="0" w:oddVBand="0" w:evenVBand="0" w:oddHBand="0" w:evenHBand="0" w:firstRowFirstColumn="0" w:firstRowLastColumn="0" w:lastRowFirstColumn="0" w:lastRowLastColumn="0"/>
              <w:rPr>
                <w:sz w:val="16"/>
                <w:szCs w:val="16"/>
              </w:rPr>
            </w:pPr>
            <w:r w:rsidRPr="00BB44AF">
              <w:rPr>
                <w:sz w:val="16"/>
                <w:szCs w:val="16"/>
              </w:rPr>
              <w:t>2020-</w:t>
            </w:r>
            <w:r w:rsidR="00EF6CC2" w:rsidRPr="00BB44AF">
              <w:rPr>
                <w:sz w:val="16"/>
                <w:szCs w:val="16"/>
              </w:rPr>
              <w:t>20</w:t>
            </w:r>
            <w:r w:rsidRPr="00BB44AF">
              <w:rPr>
                <w:sz w:val="16"/>
                <w:szCs w:val="16"/>
              </w:rPr>
              <w:t>21</w:t>
            </w:r>
          </w:p>
          <w:p w14:paraId="40782931" w14:textId="77777777" w:rsidR="003856B9" w:rsidRPr="00BB44AF" w:rsidRDefault="003856B9" w:rsidP="00D03C9D">
            <w:pPr>
              <w:spacing w:after="0"/>
              <w:jc w:val="center"/>
              <w:cnfStyle w:val="100000000000" w:firstRow="1" w:lastRow="0" w:firstColumn="0" w:lastColumn="0" w:oddVBand="0" w:evenVBand="0" w:oddHBand="0" w:evenHBand="0" w:firstRowFirstColumn="0" w:firstRowLastColumn="0" w:lastRowFirstColumn="0" w:lastRowLastColumn="0"/>
              <w:rPr>
                <w:sz w:val="16"/>
                <w:szCs w:val="16"/>
              </w:rPr>
            </w:pPr>
            <w:r w:rsidRPr="00BB44AF">
              <w:rPr>
                <w:sz w:val="16"/>
                <w:szCs w:val="16"/>
              </w:rPr>
              <w:t>Proposed Target</w:t>
            </w:r>
          </w:p>
        </w:tc>
        <w:tc>
          <w:tcPr>
            <w:tcW w:w="475" w:type="pct"/>
          </w:tcPr>
          <w:p w14:paraId="5CD11D28" w14:textId="4D568F7E" w:rsidR="003856B9" w:rsidRPr="00BB44AF" w:rsidRDefault="003856B9" w:rsidP="00D03C9D">
            <w:pPr>
              <w:spacing w:after="0"/>
              <w:jc w:val="center"/>
              <w:cnfStyle w:val="100000000000" w:firstRow="1" w:lastRow="0" w:firstColumn="0" w:lastColumn="0" w:oddVBand="0" w:evenVBand="0" w:oddHBand="0" w:evenHBand="0" w:firstRowFirstColumn="0" w:firstRowLastColumn="0" w:lastRowFirstColumn="0" w:lastRowLastColumn="0"/>
              <w:rPr>
                <w:sz w:val="16"/>
                <w:szCs w:val="16"/>
              </w:rPr>
            </w:pPr>
            <w:r w:rsidRPr="00BB44AF">
              <w:rPr>
                <w:sz w:val="16"/>
                <w:szCs w:val="16"/>
              </w:rPr>
              <w:t>2021-</w:t>
            </w:r>
            <w:r w:rsidR="00EF6CC2" w:rsidRPr="00BB44AF">
              <w:rPr>
                <w:sz w:val="16"/>
                <w:szCs w:val="16"/>
              </w:rPr>
              <w:t>20</w:t>
            </w:r>
            <w:r w:rsidRPr="00BB44AF">
              <w:rPr>
                <w:sz w:val="16"/>
                <w:szCs w:val="16"/>
              </w:rPr>
              <w:t>22 Proposed Target</w:t>
            </w:r>
          </w:p>
        </w:tc>
        <w:tc>
          <w:tcPr>
            <w:tcW w:w="474" w:type="pct"/>
          </w:tcPr>
          <w:p w14:paraId="5D5877FF" w14:textId="25006F27" w:rsidR="003856B9" w:rsidRPr="00BB44AF" w:rsidRDefault="003856B9" w:rsidP="00D03C9D">
            <w:pPr>
              <w:spacing w:after="0"/>
              <w:jc w:val="center"/>
              <w:cnfStyle w:val="100000000000" w:firstRow="1" w:lastRow="0" w:firstColumn="0" w:lastColumn="0" w:oddVBand="0" w:evenVBand="0" w:oddHBand="0" w:evenHBand="0" w:firstRowFirstColumn="0" w:firstRowLastColumn="0" w:lastRowFirstColumn="0" w:lastRowLastColumn="0"/>
              <w:rPr>
                <w:sz w:val="16"/>
                <w:szCs w:val="16"/>
              </w:rPr>
            </w:pPr>
            <w:r w:rsidRPr="00BB44AF">
              <w:rPr>
                <w:sz w:val="16"/>
                <w:szCs w:val="16"/>
              </w:rPr>
              <w:t>2022-</w:t>
            </w:r>
            <w:r w:rsidR="00EF6CC2" w:rsidRPr="00BB44AF">
              <w:rPr>
                <w:sz w:val="16"/>
                <w:szCs w:val="16"/>
              </w:rPr>
              <w:t>20</w:t>
            </w:r>
            <w:r w:rsidRPr="00BB44AF">
              <w:rPr>
                <w:sz w:val="16"/>
                <w:szCs w:val="16"/>
              </w:rPr>
              <w:t>23 Proposed Target</w:t>
            </w:r>
          </w:p>
        </w:tc>
        <w:tc>
          <w:tcPr>
            <w:tcW w:w="475" w:type="pct"/>
          </w:tcPr>
          <w:p w14:paraId="26006421" w14:textId="15589002" w:rsidR="003856B9" w:rsidRPr="00BB44AF" w:rsidRDefault="003856B9" w:rsidP="00D03C9D">
            <w:pPr>
              <w:spacing w:after="0"/>
              <w:jc w:val="center"/>
              <w:cnfStyle w:val="100000000000" w:firstRow="1" w:lastRow="0" w:firstColumn="0" w:lastColumn="0" w:oddVBand="0" w:evenVBand="0" w:oddHBand="0" w:evenHBand="0" w:firstRowFirstColumn="0" w:firstRowLastColumn="0" w:lastRowFirstColumn="0" w:lastRowLastColumn="0"/>
              <w:rPr>
                <w:sz w:val="16"/>
                <w:szCs w:val="16"/>
              </w:rPr>
            </w:pPr>
            <w:r w:rsidRPr="00BB44AF">
              <w:rPr>
                <w:sz w:val="16"/>
                <w:szCs w:val="16"/>
              </w:rPr>
              <w:t>2023-</w:t>
            </w:r>
            <w:r w:rsidR="00EF6CC2" w:rsidRPr="00BB44AF">
              <w:rPr>
                <w:sz w:val="16"/>
                <w:szCs w:val="16"/>
              </w:rPr>
              <w:t>20</w:t>
            </w:r>
            <w:r w:rsidRPr="00BB44AF">
              <w:rPr>
                <w:sz w:val="16"/>
                <w:szCs w:val="16"/>
              </w:rPr>
              <w:t>24 Proposed Target</w:t>
            </w:r>
          </w:p>
        </w:tc>
        <w:tc>
          <w:tcPr>
            <w:tcW w:w="475" w:type="pct"/>
          </w:tcPr>
          <w:p w14:paraId="780E0E71" w14:textId="2BCA00AC" w:rsidR="003856B9" w:rsidRPr="00BB44AF" w:rsidRDefault="003856B9" w:rsidP="00D03C9D">
            <w:pPr>
              <w:spacing w:after="0"/>
              <w:jc w:val="center"/>
              <w:cnfStyle w:val="100000000000" w:firstRow="1" w:lastRow="0" w:firstColumn="0" w:lastColumn="0" w:oddVBand="0" w:evenVBand="0" w:oddHBand="0" w:evenHBand="0" w:firstRowFirstColumn="0" w:firstRowLastColumn="0" w:lastRowFirstColumn="0" w:lastRowLastColumn="0"/>
              <w:rPr>
                <w:sz w:val="16"/>
                <w:szCs w:val="16"/>
              </w:rPr>
            </w:pPr>
            <w:r w:rsidRPr="00BB44AF">
              <w:rPr>
                <w:sz w:val="16"/>
                <w:szCs w:val="16"/>
              </w:rPr>
              <w:t>2024-</w:t>
            </w:r>
            <w:r w:rsidR="00EF6CC2" w:rsidRPr="00BB44AF">
              <w:rPr>
                <w:sz w:val="16"/>
                <w:szCs w:val="16"/>
              </w:rPr>
              <w:t>20</w:t>
            </w:r>
            <w:r w:rsidRPr="00BB44AF">
              <w:rPr>
                <w:sz w:val="16"/>
                <w:szCs w:val="16"/>
              </w:rPr>
              <w:t>25 Proposed Target</w:t>
            </w:r>
          </w:p>
        </w:tc>
        <w:tc>
          <w:tcPr>
            <w:tcW w:w="475" w:type="pct"/>
          </w:tcPr>
          <w:p w14:paraId="4E4CF7B1" w14:textId="02B72AA9" w:rsidR="003856B9" w:rsidRPr="00BB44AF" w:rsidRDefault="003856B9" w:rsidP="00D03C9D">
            <w:pPr>
              <w:spacing w:after="0"/>
              <w:jc w:val="center"/>
              <w:cnfStyle w:val="100000000000" w:firstRow="1" w:lastRow="0" w:firstColumn="0" w:lastColumn="0" w:oddVBand="0" w:evenVBand="0" w:oddHBand="0" w:evenHBand="0" w:firstRowFirstColumn="0" w:firstRowLastColumn="0" w:lastRowFirstColumn="0" w:lastRowLastColumn="0"/>
              <w:rPr>
                <w:sz w:val="16"/>
                <w:szCs w:val="16"/>
              </w:rPr>
            </w:pPr>
            <w:r w:rsidRPr="00BB44AF">
              <w:rPr>
                <w:sz w:val="16"/>
                <w:szCs w:val="16"/>
              </w:rPr>
              <w:t>2025-</w:t>
            </w:r>
            <w:r w:rsidR="00EF6CC2" w:rsidRPr="00BB44AF">
              <w:rPr>
                <w:sz w:val="16"/>
                <w:szCs w:val="16"/>
              </w:rPr>
              <w:t>20</w:t>
            </w:r>
            <w:r w:rsidRPr="00BB44AF">
              <w:rPr>
                <w:sz w:val="16"/>
                <w:szCs w:val="16"/>
              </w:rPr>
              <w:t>26 Proposed Target</w:t>
            </w:r>
          </w:p>
        </w:tc>
      </w:tr>
      <w:tr w:rsidR="003856B9" w14:paraId="14CCE871" w14:textId="77777777" w:rsidTr="00C76D53">
        <w:trPr>
          <w:cnfStyle w:val="000000100000" w:firstRow="0" w:lastRow="0" w:firstColumn="0" w:lastColumn="0" w:oddVBand="0" w:evenVBand="0" w:oddHBand="1" w:evenHBand="0" w:firstRowFirstColumn="0" w:firstRowLastColumn="0" w:lastRowFirstColumn="0" w:lastRowLastColumn="0"/>
          <w:cantSplit/>
          <w:trHeight w:val="432"/>
        </w:trPr>
        <w:tc>
          <w:tcPr>
            <w:cnfStyle w:val="001000000000" w:firstRow="0" w:lastRow="0" w:firstColumn="1" w:lastColumn="0" w:oddVBand="0" w:evenVBand="0" w:oddHBand="0" w:evenHBand="0" w:firstRowFirstColumn="0" w:firstRowLastColumn="0" w:lastRowFirstColumn="0" w:lastRowLastColumn="0"/>
            <w:tcW w:w="1205" w:type="pct"/>
            <w:vAlign w:val="center"/>
          </w:tcPr>
          <w:p w14:paraId="65EA8B70" w14:textId="1C09D300" w:rsidR="003856B9" w:rsidRPr="00D13D50" w:rsidRDefault="003856B9" w:rsidP="003856B9">
            <w:pPr>
              <w:spacing w:after="0"/>
              <w:jc w:val="center"/>
              <w:rPr>
                <w:b w:val="0"/>
                <w:bCs w:val="0"/>
                <w:sz w:val="20"/>
                <w:szCs w:val="20"/>
              </w:rPr>
            </w:pPr>
            <w:r w:rsidRPr="00BB44AF">
              <w:rPr>
                <w:b w:val="0"/>
                <w:sz w:val="18"/>
                <w:szCs w:val="18"/>
              </w:rPr>
              <w:t>14c: Percentage of youth with IEPs enrolled in higher education or in some other postsecondary education or training program or competitively employed or in some other employment within one year of leaving high school</w:t>
            </w:r>
          </w:p>
        </w:tc>
        <w:tc>
          <w:tcPr>
            <w:tcW w:w="474" w:type="pct"/>
            <w:vAlign w:val="center"/>
          </w:tcPr>
          <w:p w14:paraId="71F43D19" w14:textId="2D05CAAC" w:rsidR="003856B9" w:rsidRDefault="003856B9" w:rsidP="00C76D53">
            <w:pPr>
              <w:spacing w:after="0"/>
              <w:jc w:val="center"/>
              <w:cnfStyle w:val="000000100000" w:firstRow="0" w:lastRow="0" w:firstColumn="0" w:lastColumn="0" w:oddVBand="0" w:evenVBand="0" w:oddHBand="1" w:evenHBand="0" w:firstRowFirstColumn="0" w:firstRowLastColumn="0" w:lastRowFirstColumn="0" w:lastRowLastColumn="0"/>
            </w:pPr>
            <w:r>
              <w:t>66.60%</w:t>
            </w:r>
          </w:p>
        </w:tc>
        <w:tc>
          <w:tcPr>
            <w:tcW w:w="475" w:type="pct"/>
            <w:vAlign w:val="center"/>
          </w:tcPr>
          <w:p w14:paraId="41D8DA20" w14:textId="06925E3B" w:rsidR="003856B9" w:rsidRDefault="003856B9" w:rsidP="00C76D53">
            <w:pPr>
              <w:spacing w:after="0"/>
              <w:jc w:val="center"/>
              <w:cnfStyle w:val="000000100000" w:firstRow="0" w:lastRow="0" w:firstColumn="0" w:lastColumn="0" w:oddVBand="0" w:evenVBand="0" w:oddHBand="1" w:evenHBand="0" w:firstRowFirstColumn="0" w:firstRowLastColumn="0" w:lastRowFirstColumn="0" w:lastRowLastColumn="0"/>
            </w:pPr>
            <w:r>
              <w:t>86.35%</w:t>
            </w:r>
          </w:p>
        </w:tc>
        <w:tc>
          <w:tcPr>
            <w:tcW w:w="475" w:type="pct"/>
            <w:vAlign w:val="center"/>
          </w:tcPr>
          <w:p w14:paraId="3734C2C9" w14:textId="7C4CC948" w:rsidR="003856B9" w:rsidRDefault="003856B9" w:rsidP="00C76D53">
            <w:pPr>
              <w:spacing w:after="0"/>
              <w:jc w:val="center"/>
              <w:cnfStyle w:val="000000100000" w:firstRow="0" w:lastRow="0" w:firstColumn="0" w:lastColumn="0" w:oddVBand="0" w:evenVBand="0" w:oddHBand="1" w:evenHBand="0" w:firstRowFirstColumn="0" w:firstRowLastColumn="0" w:lastRowFirstColumn="0" w:lastRowLastColumn="0"/>
            </w:pPr>
            <w:r>
              <w:t>86.35%</w:t>
            </w:r>
          </w:p>
        </w:tc>
        <w:tc>
          <w:tcPr>
            <w:tcW w:w="475" w:type="pct"/>
            <w:vAlign w:val="center"/>
          </w:tcPr>
          <w:p w14:paraId="7E216598" w14:textId="3AB48ACF" w:rsidR="003856B9" w:rsidRDefault="003856B9" w:rsidP="00C76D53">
            <w:pPr>
              <w:spacing w:after="0"/>
              <w:jc w:val="center"/>
              <w:cnfStyle w:val="000000100000" w:firstRow="0" w:lastRow="0" w:firstColumn="0" w:lastColumn="0" w:oddVBand="0" w:evenVBand="0" w:oddHBand="1" w:evenHBand="0" w:firstRowFirstColumn="0" w:firstRowLastColumn="0" w:lastRowFirstColumn="0" w:lastRowLastColumn="0"/>
            </w:pPr>
            <w:r w:rsidRPr="00EA47A9">
              <w:t>88.00%</w:t>
            </w:r>
          </w:p>
        </w:tc>
        <w:tc>
          <w:tcPr>
            <w:tcW w:w="474" w:type="pct"/>
            <w:vAlign w:val="center"/>
          </w:tcPr>
          <w:p w14:paraId="62436A7C" w14:textId="5125B78F" w:rsidR="003856B9" w:rsidRDefault="003856B9" w:rsidP="00C76D53">
            <w:pPr>
              <w:spacing w:after="0"/>
              <w:jc w:val="center"/>
              <w:cnfStyle w:val="000000100000" w:firstRow="0" w:lastRow="0" w:firstColumn="0" w:lastColumn="0" w:oddVBand="0" w:evenVBand="0" w:oddHBand="1" w:evenHBand="0" w:firstRowFirstColumn="0" w:firstRowLastColumn="0" w:lastRowFirstColumn="0" w:lastRowLastColumn="0"/>
            </w:pPr>
            <w:r w:rsidRPr="00EA47A9">
              <w:t>90.00%</w:t>
            </w:r>
          </w:p>
        </w:tc>
        <w:tc>
          <w:tcPr>
            <w:tcW w:w="475" w:type="pct"/>
            <w:vAlign w:val="center"/>
          </w:tcPr>
          <w:p w14:paraId="4F58F109" w14:textId="2659201D" w:rsidR="003856B9" w:rsidRDefault="003856B9" w:rsidP="00C76D53">
            <w:pPr>
              <w:spacing w:after="0"/>
              <w:jc w:val="center"/>
              <w:cnfStyle w:val="000000100000" w:firstRow="0" w:lastRow="0" w:firstColumn="0" w:lastColumn="0" w:oddVBand="0" w:evenVBand="0" w:oddHBand="1" w:evenHBand="0" w:firstRowFirstColumn="0" w:firstRowLastColumn="0" w:lastRowFirstColumn="0" w:lastRowLastColumn="0"/>
            </w:pPr>
            <w:r w:rsidRPr="00EA47A9">
              <w:t>92.00%</w:t>
            </w:r>
          </w:p>
        </w:tc>
        <w:tc>
          <w:tcPr>
            <w:tcW w:w="475" w:type="pct"/>
            <w:vAlign w:val="center"/>
          </w:tcPr>
          <w:p w14:paraId="2223C5E1" w14:textId="45E4E41C" w:rsidR="003856B9" w:rsidRDefault="003856B9" w:rsidP="00C76D53">
            <w:pPr>
              <w:spacing w:after="0"/>
              <w:jc w:val="center"/>
              <w:cnfStyle w:val="000000100000" w:firstRow="0" w:lastRow="0" w:firstColumn="0" w:lastColumn="0" w:oddVBand="0" w:evenVBand="0" w:oddHBand="1" w:evenHBand="0" w:firstRowFirstColumn="0" w:firstRowLastColumn="0" w:lastRowFirstColumn="0" w:lastRowLastColumn="0"/>
            </w:pPr>
            <w:r w:rsidRPr="00EA47A9">
              <w:t>94.00%</w:t>
            </w:r>
          </w:p>
        </w:tc>
        <w:tc>
          <w:tcPr>
            <w:tcW w:w="475" w:type="pct"/>
            <w:vAlign w:val="center"/>
          </w:tcPr>
          <w:p w14:paraId="516B19E3" w14:textId="6ECFDEC1" w:rsidR="003856B9" w:rsidRDefault="003856B9" w:rsidP="00C76D53">
            <w:pPr>
              <w:spacing w:after="0"/>
              <w:jc w:val="center"/>
              <w:cnfStyle w:val="000000100000" w:firstRow="0" w:lastRow="0" w:firstColumn="0" w:lastColumn="0" w:oddVBand="0" w:evenVBand="0" w:oddHBand="1" w:evenHBand="0" w:firstRowFirstColumn="0" w:firstRowLastColumn="0" w:lastRowFirstColumn="0" w:lastRowLastColumn="0"/>
            </w:pPr>
            <w:r w:rsidRPr="00EA47A9">
              <w:t>96.00%</w:t>
            </w:r>
          </w:p>
        </w:tc>
      </w:tr>
    </w:tbl>
    <w:p w14:paraId="4118E761" w14:textId="1D381109" w:rsidR="00864206" w:rsidRDefault="00864206" w:rsidP="00864206">
      <w:pPr>
        <w:pStyle w:val="Heading3"/>
      </w:pPr>
      <w:r w:rsidRPr="00CF4E24">
        <w:rPr>
          <w:rFonts w:eastAsiaTheme="minorHAnsi"/>
        </w:rPr>
        <w:t xml:space="preserve">Option </w:t>
      </w:r>
      <w:r>
        <w:rPr>
          <w:rFonts w:eastAsiaTheme="minorHAnsi"/>
        </w:rPr>
        <w:t>B</w:t>
      </w:r>
      <w:r w:rsidRPr="00CF4E24">
        <w:rPr>
          <w:rFonts w:eastAsiaTheme="minorHAnsi"/>
        </w:rPr>
        <w:t xml:space="preserve"> Rationale</w:t>
      </w:r>
      <w:r w:rsidR="00700486">
        <w:rPr>
          <w:rFonts w:eastAsiaTheme="minorHAnsi"/>
        </w:rPr>
        <w:t xml:space="preserve"> – Indicator </w:t>
      </w:r>
      <w:r w:rsidR="00700486" w:rsidRPr="003A46D0">
        <w:t>14c</w:t>
      </w:r>
    </w:p>
    <w:p w14:paraId="0936AAB8" w14:textId="77777777" w:rsidR="003856B9" w:rsidRPr="00D76732" w:rsidRDefault="003856B9" w:rsidP="00BB44AF">
      <w:pPr>
        <w:pStyle w:val="ListParagraph"/>
        <w:numPr>
          <w:ilvl w:val="0"/>
          <w:numId w:val="41"/>
        </w:numPr>
        <w:rPr>
          <w:rFonts w:cs="Arial"/>
        </w:rPr>
      </w:pPr>
      <w:r w:rsidRPr="00D76732">
        <w:rPr>
          <w:rFonts w:cs="Arial"/>
        </w:rPr>
        <w:t>Option B is a more rigorous option in comparison to Option A.</w:t>
      </w:r>
    </w:p>
    <w:p w14:paraId="114002C7" w14:textId="1D875BB3" w:rsidR="003856B9" w:rsidRPr="00D76732" w:rsidRDefault="003856B9" w:rsidP="00BB44AF">
      <w:pPr>
        <w:pStyle w:val="ListParagraph"/>
        <w:numPr>
          <w:ilvl w:val="0"/>
          <w:numId w:val="41"/>
        </w:numPr>
        <w:rPr>
          <w:rFonts w:cs="Arial"/>
        </w:rPr>
      </w:pPr>
      <w:r w:rsidRPr="00D76732">
        <w:rPr>
          <w:rFonts w:cs="Arial"/>
        </w:rPr>
        <w:t>The targets for the 2025-</w:t>
      </w:r>
      <w:r w:rsidR="00D90CD6">
        <w:rPr>
          <w:rFonts w:cs="Arial"/>
        </w:rPr>
        <w:t>20</w:t>
      </w:r>
      <w:r w:rsidRPr="00D76732">
        <w:rPr>
          <w:rFonts w:cs="Arial"/>
        </w:rPr>
        <w:t>26 year would be the highest targets ever set for indicator 14.</w:t>
      </w:r>
    </w:p>
    <w:p w14:paraId="49D44D86" w14:textId="03E85F31" w:rsidR="003856B9" w:rsidRPr="00D76732" w:rsidRDefault="003856B9" w:rsidP="00BB44AF">
      <w:pPr>
        <w:pStyle w:val="ListParagraph"/>
        <w:numPr>
          <w:ilvl w:val="0"/>
          <w:numId w:val="41"/>
        </w:numPr>
        <w:rPr>
          <w:rFonts w:cs="Arial"/>
        </w:rPr>
      </w:pPr>
      <w:r w:rsidRPr="00D76732">
        <w:rPr>
          <w:rFonts w:cs="Arial"/>
        </w:rPr>
        <w:t>With the strategies, initiatives and legislation described under the Programmatic Considerations on p</w:t>
      </w:r>
      <w:r w:rsidR="00D90CD6">
        <w:rPr>
          <w:rFonts w:cs="Arial"/>
        </w:rPr>
        <w:t>ages</w:t>
      </w:r>
      <w:r w:rsidR="00D90CD6" w:rsidRPr="00D76732">
        <w:rPr>
          <w:rFonts w:cs="Arial"/>
        </w:rPr>
        <w:t xml:space="preserve"> </w:t>
      </w:r>
      <w:r w:rsidRPr="00D76732">
        <w:rPr>
          <w:rFonts w:cs="Arial"/>
        </w:rPr>
        <w:t>9-10, the</w:t>
      </w:r>
      <w:r w:rsidR="00D90CD6">
        <w:rPr>
          <w:rFonts w:cs="Arial"/>
        </w:rPr>
        <w:t xml:space="preserve"> Ohio</w:t>
      </w:r>
      <w:r w:rsidRPr="00D76732">
        <w:rPr>
          <w:rFonts w:cs="Arial"/>
        </w:rPr>
        <w:t xml:space="preserve"> Department</w:t>
      </w:r>
      <w:r w:rsidR="00D90CD6">
        <w:rPr>
          <w:rFonts w:cs="Arial"/>
        </w:rPr>
        <w:t xml:space="preserve"> of Education</w:t>
      </w:r>
      <w:r w:rsidRPr="00D76732">
        <w:rPr>
          <w:rFonts w:cs="Arial"/>
        </w:rPr>
        <w:t xml:space="preserve"> expects consistent growth over the course of the upcoming target years.</w:t>
      </w:r>
    </w:p>
    <w:p w14:paraId="0AF2370D" w14:textId="6D9F540E" w:rsidR="003856B9" w:rsidRPr="00D76732" w:rsidRDefault="003856B9" w:rsidP="00BB44AF">
      <w:pPr>
        <w:pStyle w:val="ListParagraph"/>
        <w:numPr>
          <w:ilvl w:val="0"/>
          <w:numId w:val="41"/>
        </w:numPr>
        <w:rPr>
          <w:rFonts w:cs="Arial"/>
        </w:rPr>
      </w:pPr>
      <w:r w:rsidRPr="00D76732">
        <w:rPr>
          <w:rStyle w:val="normaltextrun"/>
          <w:rFonts w:cs="Arial"/>
          <w:color w:val="000000"/>
        </w:rPr>
        <w:t>In comparison to Ohio’s 2019-</w:t>
      </w:r>
      <w:r w:rsidR="00D90CD6">
        <w:rPr>
          <w:rStyle w:val="normaltextrun"/>
          <w:rFonts w:cs="Arial"/>
          <w:color w:val="000000"/>
        </w:rPr>
        <w:t>20</w:t>
      </w:r>
      <w:r w:rsidRPr="00D76732">
        <w:rPr>
          <w:rStyle w:val="normaltextrun"/>
          <w:rFonts w:cs="Arial"/>
          <w:color w:val="000000"/>
        </w:rPr>
        <w:t>20 performance, m</w:t>
      </w:r>
      <w:r w:rsidRPr="00D76732">
        <w:rPr>
          <w:rFonts w:cs="Arial"/>
        </w:rPr>
        <w:t>eeting the final target of 96% by 2025-</w:t>
      </w:r>
      <w:r w:rsidR="00D90CD6">
        <w:rPr>
          <w:rFonts w:cs="Arial"/>
        </w:rPr>
        <w:t>20</w:t>
      </w:r>
      <w:r w:rsidRPr="00D76732">
        <w:rPr>
          <w:rFonts w:cs="Arial"/>
        </w:rPr>
        <w:t xml:space="preserve">26 will require </w:t>
      </w:r>
      <w:r w:rsidRPr="00D76732">
        <w:rPr>
          <w:rFonts w:cs="Arial"/>
          <w:b/>
          <w:bCs/>
        </w:rPr>
        <w:t>101</w:t>
      </w:r>
      <w:r w:rsidRPr="00D76732">
        <w:rPr>
          <w:rFonts w:cs="Arial"/>
        </w:rPr>
        <w:t xml:space="preserve"> more students with disabilities within the survey sample to enroll in higher education or in some other postsecondary education or training program or be competitively employed or in some other employment within one year of leaving high school.</w:t>
      </w:r>
    </w:p>
    <w:p w14:paraId="25AA8630" w14:textId="11E88776" w:rsidR="00B25028" w:rsidRDefault="00B25028" w:rsidP="00B25028">
      <w:pPr>
        <w:pStyle w:val="Heading2"/>
      </w:pPr>
      <w:r>
        <w:lastRenderedPageBreak/>
        <w:t>What are the programmatic considerations?</w:t>
      </w:r>
    </w:p>
    <w:p w14:paraId="6DA186FB" w14:textId="77777777" w:rsidR="00130CC5" w:rsidRPr="00434141" w:rsidRDefault="00130CC5" w:rsidP="00130CC5">
      <w:pPr>
        <w:pStyle w:val="Heading3"/>
      </w:pPr>
      <w:r>
        <w:t>S</w:t>
      </w:r>
      <w:r w:rsidRPr="00434141">
        <w:t>trategies and Initiatives</w:t>
      </w:r>
    </w:p>
    <w:p w14:paraId="68C43E59" w14:textId="77777777" w:rsidR="00130CC5" w:rsidRDefault="00130CC5" w:rsidP="00F6017F">
      <w:pPr>
        <w:pStyle w:val="ListParagraph"/>
        <w:numPr>
          <w:ilvl w:val="0"/>
          <w:numId w:val="14"/>
        </w:numPr>
        <w:spacing w:before="120" w:after="0"/>
        <w:contextualSpacing w:val="0"/>
      </w:pPr>
      <w:r>
        <w:t>The Office for Exceptional Children contracts with Kent State University to facilitate training and data collection, submission and reporting for this indicator.</w:t>
      </w:r>
    </w:p>
    <w:p w14:paraId="4B98BD37" w14:textId="40802204" w:rsidR="00130CC5" w:rsidRPr="008E7A93" w:rsidRDefault="00130CC5" w:rsidP="00F6017F">
      <w:pPr>
        <w:pStyle w:val="ListParagraph"/>
        <w:numPr>
          <w:ilvl w:val="0"/>
          <w:numId w:val="14"/>
        </w:numPr>
        <w:spacing w:after="0"/>
        <w:contextualSpacing w:val="0"/>
      </w:pPr>
      <w:r w:rsidRPr="00651975">
        <w:rPr>
          <w:rStyle w:val="normaltextrun"/>
          <w:color w:val="000000"/>
          <w:shd w:val="clear" w:color="auto" w:fill="FFFFFF"/>
        </w:rPr>
        <w:t>In June 2021, the Office for Exceptional Children released the </w:t>
      </w:r>
      <w:r w:rsidRPr="00651975">
        <w:rPr>
          <w:rStyle w:val="normaltextrun"/>
          <w:i/>
          <w:iCs/>
          <w:color w:val="000000"/>
          <w:shd w:val="clear" w:color="auto" w:fill="FFFFFF"/>
        </w:rPr>
        <w:t>11 District Plan</w:t>
      </w:r>
      <w:r w:rsidRPr="00651975">
        <w:rPr>
          <w:rStyle w:val="normaltextrun"/>
          <w:color w:val="000000"/>
          <w:shd w:val="clear" w:color="auto" w:fill="FFFFFF"/>
        </w:rPr>
        <w:t> in response to the</w:t>
      </w:r>
      <w:r w:rsidR="00243B68">
        <w:rPr>
          <w:rStyle w:val="normaltextrun"/>
          <w:i/>
          <w:color w:val="000000"/>
          <w:shd w:val="clear" w:color="auto" w:fill="FFFFFF"/>
        </w:rPr>
        <w:t xml:space="preserve"> </w:t>
      </w:r>
      <w:hyperlink r:id="rId17" w:history="1">
        <w:r w:rsidRPr="00B264E7">
          <w:rPr>
            <w:rStyle w:val="Hyperlink"/>
            <w:rFonts w:cs="Arial"/>
            <w:i/>
            <w:iCs/>
            <w:shd w:val="clear" w:color="auto" w:fill="FFFFFF"/>
          </w:rPr>
          <w:t>Doe Settlement</w:t>
        </w:r>
      </w:hyperlink>
      <w:r w:rsidRPr="00651975">
        <w:rPr>
          <w:rStyle w:val="normaltextrun"/>
          <w:color w:val="000000"/>
          <w:shd w:val="clear" w:color="auto" w:fill="FFFFFF"/>
        </w:rPr>
        <w:t xml:space="preserve">. </w:t>
      </w:r>
      <w:r w:rsidR="007D30BB" w:rsidRPr="00064E18">
        <w:rPr>
          <w:rFonts w:cs="Arial"/>
          <w:color w:val="000000" w:themeColor="text1"/>
        </w:rPr>
        <w:t xml:space="preserve">This plan outlines increased supports from the Ohio Department of Education </w:t>
      </w:r>
      <w:r w:rsidR="007D30BB" w:rsidRPr="00F6017F">
        <w:rPr>
          <w:rFonts w:eastAsia="Times New Roman" w:cs="Arial"/>
        </w:rPr>
        <w:t>for students with disabilities</w:t>
      </w:r>
      <w:r w:rsidR="007D30BB" w:rsidRPr="00F6017F" w:rsidDel="002C4E07">
        <w:rPr>
          <w:rFonts w:cs="Arial"/>
        </w:rPr>
        <w:t xml:space="preserve"> </w:t>
      </w:r>
      <w:r w:rsidR="007D30BB" w:rsidRPr="00F6017F">
        <w:rPr>
          <w:rFonts w:cs="Arial"/>
        </w:rPr>
        <w:t xml:space="preserve">in </w:t>
      </w:r>
      <w:r w:rsidR="007D30BB" w:rsidRPr="00064E18">
        <w:rPr>
          <w:rFonts w:eastAsia="Times New Roman" w:cs="Arial"/>
        </w:rPr>
        <w:t>11 targeted districts</w:t>
      </w:r>
      <w:r w:rsidR="007D30BB" w:rsidRPr="00064E18">
        <w:rPr>
          <w:rFonts w:cs="Arial"/>
          <w:color w:val="000000" w:themeColor="text1"/>
        </w:rPr>
        <w:t>.</w:t>
      </w:r>
      <w:r w:rsidR="007D30BB">
        <w:rPr>
          <w:rStyle w:val="normaltextrun"/>
          <w:rFonts w:cs="Arial"/>
          <w:color w:val="000000" w:themeColor="text1"/>
        </w:rPr>
        <w:t xml:space="preserve"> However, </w:t>
      </w:r>
      <w:r w:rsidRPr="00651975">
        <w:rPr>
          <w:rStyle w:val="normaltextrun"/>
          <w:color w:val="000000"/>
          <w:shd w:val="clear" w:color="auto" w:fill="FFFFFF"/>
        </w:rPr>
        <w:t>the resources and other supports developed will be available statewide and therefore accessible to any district.</w:t>
      </w:r>
      <w:r w:rsidRPr="00651975">
        <w:rPr>
          <w:rStyle w:val="eop"/>
          <w:b/>
          <w:bCs/>
          <w:color w:val="000000"/>
          <w:shd w:val="clear" w:color="auto" w:fill="FFFFFF"/>
        </w:rPr>
        <w:t> </w:t>
      </w:r>
      <w:r>
        <w:t>In 2019-20, t</w:t>
      </w:r>
      <w:r w:rsidRPr="002D5B4F">
        <w:t>he 11 Districts</w:t>
      </w:r>
      <w:r>
        <w:t xml:space="preserve"> </w:t>
      </w:r>
      <w:r w:rsidRPr="002D5B4F">
        <w:t>include</w:t>
      </w:r>
      <w:r>
        <w:t>d</w:t>
      </w:r>
      <w:r w:rsidRPr="002D5B4F">
        <w:t xml:space="preserve"> </w:t>
      </w:r>
      <w:r w:rsidRPr="00CD2C6E">
        <w:t>15.7%</w:t>
      </w:r>
      <w:r w:rsidRPr="002D5B4F">
        <w:t xml:space="preserve"> of Ohio’s students with disabilities</w:t>
      </w:r>
      <w:r>
        <w:t xml:space="preserve"> and 12.12% of all Ohio’s students</w:t>
      </w:r>
      <w:r w:rsidRPr="002D5B4F">
        <w:t>.</w:t>
      </w:r>
      <w:r>
        <w:t xml:space="preserve"> The 11 District Plan includes objectives to improve postsecondary transition strategies and parents understanding of rights for students with disabilities age</w:t>
      </w:r>
      <w:r w:rsidR="009F2D61">
        <w:t>s</w:t>
      </w:r>
      <w:r>
        <w:t xml:space="preserve"> 14-22. P</w:t>
      </w:r>
      <w:r w:rsidRPr="00976FFB">
        <w:t>ostschool outcomes is a measure within the plan.</w:t>
      </w:r>
    </w:p>
    <w:p w14:paraId="3D9FBB80" w14:textId="607E9690" w:rsidR="00130CC5" w:rsidRDefault="00130CC5" w:rsidP="00F6017F">
      <w:pPr>
        <w:pStyle w:val="ListParagraph"/>
        <w:numPr>
          <w:ilvl w:val="0"/>
          <w:numId w:val="14"/>
        </w:numPr>
        <w:spacing w:after="0"/>
        <w:contextualSpacing w:val="0"/>
      </w:pPr>
      <w:r>
        <w:t xml:space="preserve">The </w:t>
      </w:r>
      <w:r w:rsidR="009F2D61">
        <w:t xml:space="preserve">state support team secondary transition consultants </w:t>
      </w:r>
      <w:r>
        <w:t>support school districts in data collection and submission for indicator 14.</w:t>
      </w:r>
    </w:p>
    <w:p w14:paraId="33E8F325" w14:textId="77777777" w:rsidR="00130CC5" w:rsidRDefault="00130CC5" w:rsidP="00F6017F">
      <w:pPr>
        <w:pStyle w:val="ListParagraph"/>
        <w:numPr>
          <w:ilvl w:val="0"/>
          <w:numId w:val="14"/>
        </w:numPr>
        <w:spacing w:after="0"/>
        <w:contextualSpacing w:val="0"/>
      </w:pPr>
      <w:r>
        <w:t xml:space="preserve">The Office for Exceptional Children has included a compliance component in the district </w:t>
      </w:r>
      <w:hyperlink r:id="rId18" w:history="1">
        <w:r w:rsidRPr="00511D6D">
          <w:rPr>
            <w:rStyle w:val="Hyperlink"/>
          </w:rPr>
          <w:t>Special Education Profile</w:t>
        </w:r>
      </w:hyperlink>
      <w:r>
        <w:t xml:space="preserve"> related to data collection for the indicator.</w:t>
      </w:r>
    </w:p>
    <w:p w14:paraId="0AC49D86" w14:textId="77777777" w:rsidR="00130CC5" w:rsidRDefault="00130CC5" w:rsidP="00F6017F">
      <w:pPr>
        <w:pStyle w:val="ListParagraph"/>
        <w:numPr>
          <w:ilvl w:val="0"/>
          <w:numId w:val="14"/>
        </w:numPr>
        <w:spacing w:after="0"/>
        <w:contextualSpacing w:val="0"/>
      </w:pPr>
      <w:r>
        <w:t>The Office for Exceptional Children added “competitive integrated” to the postsecondary employment goal in the Individualized Education Program form.</w:t>
      </w:r>
    </w:p>
    <w:p w14:paraId="33DBD14E" w14:textId="4C243C8C" w:rsidR="00130CC5" w:rsidRDefault="00130CC5" w:rsidP="00EF6CC2">
      <w:pPr>
        <w:pStyle w:val="ListParagraph"/>
        <w:numPr>
          <w:ilvl w:val="0"/>
          <w:numId w:val="14"/>
        </w:numPr>
        <w:spacing w:after="0"/>
        <w:contextualSpacing w:val="0"/>
      </w:pPr>
      <w:r>
        <w:t xml:space="preserve">Representatives from the Ohio Department of Education sit on the </w:t>
      </w:r>
      <w:hyperlink r:id="rId19" w:history="1">
        <w:r w:rsidRPr="0093297B">
          <w:rPr>
            <w:rStyle w:val="Hyperlink"/>
          </w:rPr>
          <w:t>Ohio Employment First Taskforce</w:t>
        </w:r>
      </w:hyperlink>
      <w:r>
        <w:t xml:space="preserve"> and the</w:t>
      </w:r>
      <w:r w:rsidR="00185B58">
        <w:t xml:space="preserve"> Ohio</w:t>
      </w:r>
      <w:r>
        <w:t xml:space="preserve"> Department</w:t>
      </w:r>
      <w:r w:rsidR="00185B58">
        <w:t xml:space="preserve"> of Education</w:t>
      </w:r>
      <w:r>
        <w:t xml:space="preserve">’s Ohio Secondary Transition Plan </w:t>
      </w:r>
      <w:r w:rsidR="00EF6CC2">
        <w:t>is part of</w:t>
      </w:r>
      <w:r>
        <w:t xml:space="preserve"> the Employment First Transition Vision Work Plan.</w:t>
      </w:r>
    </w:p>
    <w:p w14:paraId="12F97CF3" w14:textId="24FA9B08" w:rsidR="00130CC5" w:rsidRDefault="00130CC5" w:rsidP="00EF6CC2">
      <w:pPr>
        <w:pStyle w:val="ListParagraph"/>
        <w:numPr>
          <w:ilvl w:val="0"/>
          <w:numId w:val="14"/>
        </w:numPr>
        <w:spacing w:after="0"/>
        <w:contextualSpacing w:val="0"/>
      </w:pPr>
      <w:r>
        <w:t>Serving students with disabilities in career</w:t>
      </w:r>
      <w:r w:rsidR="00E80CF7">
        <w:t>-</w:t>
      </w:r>
      <w:r>
        <w:t xml:space="preserve">technical education is included within the </w:t>
      </w:r>
      <w:hyperlink r:id="rId20" w:history="1">
        <w:r w:rsidRPr="0093297B">
          <w:rPr>
            <w:rStyle w:val="Hyperlink"/>
          </w:rPr>
          <w:t>Ohio Perkins V State Plan</w:t>
        </w:r>
      </w:hyperlink>
      <w:r w:rsidRPr="00EF6CC2">
        <w:rPr>
          <w:rStyle w:val="Hyperlink"/>
          <w:color w:val="auto"/>
          <w:u w:val="none"/>
        </w:rPr>
        <w:t>.</w:t>
      </w:r>
    </w:p>
    <w:p w14:paraId="083B2111" w14:textId="3D1A4544" w:rsidR="00130CC5" w:rsidRDefault="00130CC5" w:rsidP="00EF6CC2">
      <w:pPr>
        <w:pStyle w:val="ListParagraph"/>
        <w:numPr>
          <w:ilvl w:val="0"/>
          <w:numId w:val="14"/>
        </w:numPr>
        <w:spacing w:after="0"/>
        <w:contextualSpacing w:val="0"/>
      </w:pPr>
      <w:r>
        <w:t xml:space="preserve">The Ohio Department of Education received a </w:t>
      </w:r>
      <w:hyperlink r:id="rId21" w:history="1">
        <w:r w:rsidRPr="0093297B">
          <w:rPr>
            <w:rStyle w:val="Hyperlink"/>
          </w:rPr>
          <w:t>Statewide Longitudinal Data System</w:t>
        </w:r>
      </w:hyperlink>
      <w:r>
        <w:t xml:space="preserve"> grant to develop an Early Warning System and a Progress Toward Graduation reporting system in the Ohio District Data Exchange that currently </w:t>
      </w:r>
      <w:r w:rsidR="00E80CF7">
        <w:t xml:space="preserve">is </w:t>
      </w:r>
      <w:r>
        <w:t>being developed.</w:t>
      </w:r>
    </w:p>
    <w:p w14:paraId="5F7031C9" w14:textId="33E026DB" w:rsidR="00130CC5" w:rsidRDefault="00130CC5" w:rsidP="00EF6CC2">
      <w:pPr>
        <w:pStyle w:val="ListParagraph"/>
        <w:numPr>
          <w:ilvl w:val="0"/>
          <w:numId w:val="14"/>
        </w:numPr>
        <w:spacing w:after="0"/>
        <w:contextualSpacing w:val="0"/>
      </w:pPr>
      <w:r w:rsidRPr="0029395C">
        <w:t xml:space="preserve">In March 2021, the Office for Exceptional Children released </w:t>
      </w:r>
      <w:hyperlink r:id="rId22" w:history="1">
        <w:r w:rsidRPr="00094912">
          <w:rPr>
            <w:rStyle w:val="Hyperlink"/>
            <w:i/>
            <w:iCs/>
          </w:rPr>
          <w:t>Each Child Means Each Child: Ohio’s Plan to Improve Learning Experiences and Outcomes for Students with Disabilities</w:t>
        </w:r>
      </w:hyperlink>
      <w:r w:rsidRPr="0029395C">
        <w:t xml:space="preserve">. </w:t>
      </w:r>
      <w:r>
        <w:t>This</w:t>
      </w:r>
      <w:r w:rsidDel="00E80CF7">
        <w:t xml:space="preserve"> </w:t>
      </w:r>
      <w:r>
        <w:t>plan includes a focus on improved postsecondary transition and outcomes.</w:t>
      </w:r>
    </w:p>
    <w:p w14:paraId="6E32D717" w14:textId="545D4180" w:rsidR="00130CC5" w:rsidRDefault="00130CC5" w:rsidP="00EF6CC2">
      <w:pPr>
        <w:pStyle w:val="ListParagraph"/>
        <w:numPr>
          <w:ilvl w:val="0"/>
          <w:numId w:val="14"/>
        </w:numPr>
        <w:spacing w:after="0"/>
        <w:contextualSpacing w:val="0"/>
      </w:pPr>
      <w:r>
        <w:t xml:space="preserve">The Office for Exceptional Children is leading a state cross-agency initiative titled </w:t>
      </w:r>
      <w:r w:rsidRPr="00DA4769">
        <w:rPr>
          <w:i/>
          <w:iCs/>
        </w:rPr>
        <w:t>Establishing Families as Partners in the Secondary Transition Planning Process</w:t>
      </w:r>
      <w:r w:rsidR="00E80CF7" w:rsidRPr="00EF6CC2">
        <w:t>,</w:t>
      </w:r>
      <w:r>
        <w:rPr>
          <w:i/>
          <w:iCs/>
        </w:rPr>
        <w:t xml:space="preserve"> </w:t>
      </w:r>
      <w:r>
        <w:t>encouraging agencies to target and include students’ families in secondary and postsecondary planning</w:t>
      </w:r>
      <w:r w:rsidR="004D28A7">
        <w:t xml:space="preserve">. </w:t>
      </w:r>
    </w:p>
    <w:p w14:paraId="2F727CDA" w14:textId="18A6ABEF" w:rsidR="00130CC5" w:rsidRDefault="00130CC5" w:rsidP="00EF6CC2">
      <w:pPr>
        <w:pStyle w:val="ListParagraph"/>
        <w:numPr>
          <w:ilvl w:val="0"/>
          <w:numId w:val="14"/>
        </w:numPr>
        <w:spacing w:after="0"/>
        <w:contextualSpacing w:val="0"/>
      </w:pPr>
      <w:r>
        <w:t xml:space="preserve">The Ohio Department of Education and Opportunities for Ohioans with Disabilities have developed an interagency agreement to increase access to vocational rehabilitation services starting at age 14. The initiative is called </w:t>
      </w:r>
      <w:r w:rsidR="00E80CF7">
        <w:t xml:space="preserve">the </w:t>
      </w:r>
      <w:r>
        <w:t xml:space="preserve">Ohio Transition Support Partnership. </w:t>
      </w:r>
    </w:p>
    <w:p w14:paraId="562C7576" w14:textId="4D1EC0E5" w:rsidR="00130CC5" w:rsidRDefault="00130CC5" w:rsidP="00EF6CC2">
      <w:pPr>
        <w:pStyle w:val="ListParagraph"/>
        <w:numPr>
          <w:ilvl w:val="0"/>
          <w:numId w:val="14"/>
        </w:numPr>
        <w:spacing w:after="0"/>
        <w:contextualSpacing w:val="0"/>
      </w:pPr>
      <w:r>
        <w:t xml:space="preserve">The Office for Exceptional Children has contracted with the Ohio Center for Autism and Low Incidence (OCALI) to develop an Age-Appropriate Transition Assessment Tool for district use as a </w:t>
      </w:r>
      <w:proofErr w:type="gramStart"/>
      <w:r>
        <w:t>resource</w:t>
      </w:r>
      <w:r w:rsidR="00E80CF7">
        <w:t xml:space="preserve"> </w:t>
      </w:r>
      <w:r>
        <w:t>offering strategies</w:t>
      </w:r>
      <w:proofErr w:type="gramEnd"/>
      <w:r>
        <w:t xml:space="preserve"> on transition planning for students with autism spectrum disorders. </w:t>
      </w:r>
    </w:p>
    <w:p w14:paraId="02A3078A" w14:textId="2FDAFF90" w:rsidR="00130CC5" w:rsidRDefault="00130CC5" w:rsidP="00EF6CC2">
      <w:pPr>
        <w:pStyle w:val="ListParagraph"/>
        <w:numPr>
          <w:ilvl w:val="0"/>
          <w:numId w:val="14"/>
        </w:numPr>
        <w:contextualSpacing w:val="0"/>
      </w:pPr>
      <w:r>
        <w:t xml:space="preserve">Ohio’s current budget includes Secondary Transition Enhancement Funds to support multiple initiatives including Transition to Work Endorsement course tuition reimbursements, Innovative Strategies Grants for school districts and agency partners and university preservice educational programming on secondary transition. </w:t>
      </w:r>
    </w:p>
    <w:p w14:paraId="4364DA2D" w14:textId="7C7300B1" w:rsidR="00130CC5" w:rsidRDefault="00130CC5" w:rsidP="00130CC5">
      <w:pPr>
        <w:pStyle w:val="Heading3"/>
      </w:pPr>
      <w:r w:rsidRPr="00434141">
        <w:t xml:space="preserve">State </w:t>
      </w:r>
      <w:r w:rsidR="00524B8D">
        <w:t>L</w:t>
      </w:r>
      <w:r w:rsidRPr="00434141">
        <w:t>egislation</w:t>
      </w:r>
    </w:p>
    <w:p w14:paraId="0F12CE2A" w14:textId="77777777" w:rsidR="00130CC5" w:rsidRDefault="00130CC5" w:rsidP="00EF6CC2">
      <w:pPr>
        <w:pStyle w:val="ListParagraph"/>
        <w:numPr>
          <w:ilvl w:val="0"/>
          <w:numId w:val="14"/>
        </w:numPr>
        <w:spacing w:after="0"/>
        <w:contextualSpacing w:val="0"/>
      </w:pPr>
      <w:r>
        <w:t xml:space="preserve">Ohio is an </w:t>
      </w:r>
      <w:hyperlink r:id="rId23" w:history="1">
        <w:r w:rsidRPr="000216F0">
          <w:rPr>
            <w:rStyle w:val="Hyperlink"/>
          </w:rPr>
          <w:t>Employment First State</w:t>
        </w:r>
      </w:hyperlink>
      <w:r>
        <w:t xml:space="preserve"> and assumes all individuals, including those with significant cognitive disabilities, will participate in community employment.</w:t>
      </w:r>
    </w:p>
    <w:p w14:paraId="5F7BD542" w14:textId="068BAA39" w:rsidR="00130CC5" w:rsidRPr="000216F0" w:rsidRDefault="00130CC5" w:rsidP="00EF6CC2">
      <w:pPr>
        <w:pStyle w:val="ListParagraph"/>
        <w:numPr>
          <w:ilvl w:val="0"/>
          <w:numId w:val="14"/>
        </w:numPr>
        <w:spacing w:after="0"/>
        <w:contextualSpacing w:val="0"/>
      </w:pPr>
      <w:r>
        <w:t xml:space="preserve">Per </w:t>
      </w:r>
      <w:hyperlink r:id="rId24" w:history="1">
        <w:r>
          <w:rPr>
            <w:rStyle w:val="Hyperlink"/>
          </w:rPr>
          <w:t>S</w:t>
        </w:r>
        <w:r w:rsidR="00A0372F">
          <w:rPr>
            <w:rStyle w:val="Hyperlink"/>
          </w:rPr>
          <w:t xml:space="preserve">enate </w:t>
        </w:r>
        <w:r>
          <w:rPr>
            <w:rStyle w:val="Hyperlink"/>
          </w:rPr>
          <w:t>B</w:t>
        </w:r>
        <w:r w:rsidR="00A0372F">
          <w:rPr>
            <w:rStyle w:val="Hyperlink"/>
          </w:rPr>
          <w:t>ill</w:t>
        </w:r>
        <w:r>
          <w:rPr>
            <w:rStyle w:val="Hyperlink"/>
          </w:rPr>
          <w:t xml:space="preserve"> 316</w:t>
        </w:r>
      </w:hyperlink>
      <w:r w:rsidRPr="00945811">
        <w:rPr>
          <w:rStyle w:val="Hyperlink"/>
          <w:color w:val="auto"/>
          <w:u w:val="none"/>
        </w:rPr>
        <w:t>,</w:t>
      </w:r>
      <w:r>
        <w:t xml:space="preserve"> each Individualized Education Program must include a transition plan beginning at age 14.</w:t>
      </w:r>
    </w:p>
    <w:p w14:paraId="2CB12111" w14:textId="18EDA004" w:rsidR="00130CC5" w:rsidRDefault="00A07DBB" w:rsidP="00EF6CC2">
      <w:pPr>
        <w:pStyle w:val="ListParagraph"/>
        <w:numPr>
          <w:ilvl w:val="0"/>
          <w:numId w:val="14"/>
        </w:numPr>
        <w:spacing w:after="0"/>
        <w:contextualSpacing w:val="0"/>
      </w:pPr>
      <w:hyperlink r:id="rId25" w:history="1">
        <w:r w:rsidR="00130CC5" w:rsidRPr="00C071DD">
          <w:rPr>
            <w:rStyle w:val="Hyperlink"/>
          </w:rPr>
          <w:t>Ohio’s graduation requirements</w:t>
        </w:r>
      </w:hyperlink>
      <w:r w:rsidR="00130CC5">
        <w:t xml:space="preserve"> for the class</w:t>
      </w:r>
      <w:r w:rsidR="00A0372F">
        <w:t>es</w:t>
      </w:r>
      <w:r w:rsidR="00130CC5">
        <w:t xml:space="preserve"> of 2023 and beyond offer multiple pathways to graduation. </w:t>
      </w:r>
      <w:r w:rsidR="00130CC5" w:rsidRPr="00B067C6">
        <w:t>Ohio’s newly adopted graduation requirements provide greater flexibility and acknowledge that students can demonstrate competency and readiness through a variety of mechanisms.</w:t>
      </w:r>
    </w:p>
    <w:p w14:paraId="224E45B8" w14:textId="12915433" w:rsidR="00130CC5" w:rsidRDefault="00130CC5" w:rsidP="00EF6CC2">
      <w:pPr>
        <w:pStyle w:val="ListParagraph"/>
        <w:numPr>
          <w:ilvl w:val="0"/>
          <w:numId w:val="14"/>
        </w:numPr>
        <w:spacing w:after="0"/>
        <w:contextualSpacing w:val="0"/>
      </w:pPr>
      <w:r>
        <w:t xml:space="preserve">Per Ohio Revised Code </w:t>
      </w:r>
      <w:hyperlink r:id="rId26" w:history="1">
        <w:r>
          <w:rPr>
            <w:rStyle w:val="Hyperlink"/>
          </w:rPr>
          <w:t>3313.617</w:t>
        </w:r>
      </w:hyperlink>
      <w:r w:rsidR="00AC5751">
        <w:t xml:space="preserve">, </w:t>
      </w:r>
      <w:r>
        <w:t>all students in grades 9-12 in Ohio are required to have graduation plan</w:t>
      </w:r>
      <w:r w:rsidR="00861C36">
        <w:t>s</w:t>
      </w:r>
      <w:r>
        <w:t xml:space="preserve"> in place. </w:t>
      </w:r>
    </w:p>
    <w:p w14:paraId="2FD574B1" w14:textId="22CB71D1" w:rsidR="00130CC5" w:rsidRDefault="00130CC5" w:rsidP="00EF6CC2">
      <w:pPr>
        <w:pStyle w:val="ListParagraph"/>
        <w:numPr>
          <w:ilvl w:val="0"/>
          <w:numId w:val="14"/>
        </w:numPr>
        <w:spacing w:after="0"/>
        <w:contextualSpacing w:val="0"/>
      </w:pPr>
      <w:r>
        <w:lastRenderedPageBreak/>
        <w:t>Per Ohio Revised Code</w:t>
      </w:r>
      <w:r w:rsidDel="00861C36">
        <w:t xml:space="preserve"> </w:t>
      </w:r>
      <w:hyperlink r:id="rId27" w:history="1">
        <w:r>
          <w:rPr>
            <w:rStyle w:val="Hyperlink"/>
          </w:rPr>
          <w:t>3313.617</w:t>
        </w:r>
      </w:hyperlink>
      <w:r w:rsidR="00861C36">
        <w:t xml:space="preserve">, </w:t>
      </w:r>
      <w:r>
        <w:t>districts must have a policy in place to identify students who are at-risk for not meeting graduation requirements and to develop intervention plan</w:t>
      </w:r>
      <w:r w:rsidR="00861C36">
        <w:t>s</w:t>
      </w:r>
      <w:r>
        <w:t>.</w:t>
      </w:r>
    </w:p>
    <w:p w14:paraId="2AEA83C4" w14:textId="71DA364A" w:rsidR="00130CC5" w:rsidRDefault="00130CC5" w:rsidP="00EF6CC2">
      <w:pPr>
        <w:pStyle w:val="ListParagraph"/>
        <w:numPr>
          <w:ilvl w:val="0"/>
          <w:numId w:val="14"/>
        </w:numPr>
        <w:contextualSpacing w:val="0"/>
      </w:pPr>
      <w:r>
        <w:t xml:space="preserve">Per </w:t>
      </w:r>
      <w:hyperlink r:id="rId28" w:history="1">
        <w:r w:rsidRPr="00C071DD">
          <w:rPr>
            <w:rStyle w:val="Hyperlink"/>
          </w:rPr>
          <w:t>House Bill 410</w:t>
        </w:r>
      </w:hyperlink>
      <w:r w:rsidR="00861C36">
        <w:t xml:space="preserve">, </w:t>
      </w:r>
      <w:r>
        <w:t>school districts must have a chronic absenteeism policy.</w:t>
      </w:r>
    </w:p>
    <w:p w14:paraId="01CDCB67" w14:textId="0B1B2BF8" w:rsidR="00130CC5" w:rsidRDefault="00130CC5" w:rsidP="00130CC5">
      <w:pPr>
        <w:pStyle w:val="Heading3"/>
      </w:pPr>
      <w:r w:rsidRPr="000216F0">
        <w:t xml:space="preserve">Federal </w:t>
      </w:r>
      <w:r w:rsidR="004A6FEE">
        <w:t>L</w:t>
      </w:r>
      <w:r w:rsidRPr="000216F0">
        <w:t>egislation</w:t>
      </w:r>
    </w:p>
    <w:p w14:paraId="20A178BC" w14:textId="13E85890" w:rsidR="00130CC5" w:rsidRPr="00130CC5" w:rsidRDefault="00130CC5" w:rsidP="00130CC5">
      <w:pPr>
        <w:pStyle w:val="ListParagraph"/>
        <w:numPr>
          <w:ilvl w:val="0"/>
          <w:numId w:val="14"/>
        </w:numPr>
      </w:pPr>
      <w:r>
        <w:t xml:space="preserve">The </w:t>
      </w:r>
      <w:hyperlink r:id="rId29" w:history="1">
        <w:r w:rsidRPr="00177890">
          <w:rPr>
            <w:rStyle w:val="Hyperlink"/>
          </w:rPr>
          <w:t>Workforce Innovation and Opportunity Act</w:t>
        </w:r>
      </w:hyperlink>
      <w:r w:rsidRPr="00177890">
        <w:t xml:space="preserve"> places significant emphasis on competi</w:t>
      </w:r>
      <w:r>
        <w:t>ti</w:t>
      </w:r>
      <w:r w:rsidRPr="00177890">
        <w:t>ve integrated employment for all individuals with disabilities.</w:t>
      </w:r>
    </w:p>
    <w:p w14:paraId="482C940D" w14:textId="7F8BC110" w:rsidR="00F70DF1" w:rsidRPr="00F70DF1" w:rsidRDefault="00F70DF1" w:rsidP="00700486"/>
    <w:sectPr w:rsidR="00F70DF1" w:rsidRPr="00F70DF1" w:rsidSect="00914557">
      <w:headerReference w:type="default" r:id="rId30"/>
      <w:footerReference w:type="default" r:id="rId3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E2D52" w14:textId="77777777" w:rsidR="00A07DBB" w:rsidRDefault="00A07DBB" w:rsidP="00C46BFB">
      <w:r>
        <w:separator/>
      </w:r>
    </w:p>
  </w:endnote>
  <w:endnote w:type="continuationSeparator" w:id="0">
    <w:p w14:paraId="0891BEF1" w14:textId="77777777" w:rsidR="00A07DBB" w:rsidRDefault="00A07DBB" w:rsidP="00C46BFB">
      <w:r>
        <w:continuationSeparator/>
      </w:r>
    </w:p>
  </w:endnote>
  <w:endnote w:type="continuationNotice" w:id="1">
    <w:p w14:paraId="4E679187" w14:textId="77777777" w:rsidR="00A07DBB" w:rsidRDefault="00A07D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E5971" w14:textId="422C414A" w:rsidR="00220677" w:rsidRPr="00AF5F8A" w:rsidRDefault="007A333E" w:rsidP="00F06C04">
    <w:pPr>
      <w:pStyle w:val="Footer"/>
    </w:pPr>
    <w:r w:rsidRPr="00AF5F8A">
      <w:rPr>
        <w:noProof/>
      </w:rPr>
      <w:drawing>
        <wp:anchor distT="0" distB="0" distL="114300" distR="114300" simplePos="0" relativeHeight="251657728" behindDoc="1" locked="0" layoutInCell="1" allowOverlap="1" wp14:anchorId="60E911B2" wp14:editId="70544EF6">
          <wp:simplePos x="0" y="0"/>
          <wp:positionH relativeFrom="page">
            <wp:posOffset>-61187</wp:posOffset>
          </wp:positionH>
          <wp:positionV relativeFrom="page">
            <wp:posOffset>9077998</wp:posOffset>
          </wp:positionV>
          <wp:extent cx="7784798" cy="991084"/>
          <wp:effectExtent l="0" t="0" r="0"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784798" cy="991084"/>
                  </a:xfrm>
                  <a:prstGeom prst="rect">
                    <a:avLst/>
                  </a:prstGeom>
                </pic:spPr>
              </pic:pic>
            </a:graphicData>
          </a:graphic>
          <wp14:sizeRelH relativeFrom="page">
            <wp14:pctWidth>0</wp14:pctWidth>
          </wp14:sizeRelH>
          <wp14:sizeRelV relativeFrom="page">
            <wp14:pctHeight>0</wp14:pctHeight>
          </wp14:sizeRelV>
        </wp:anchor>
      </w:drawing>
    </w:r>
    <w:r w:rsidR="002F1722" w:rsidRPr="00AF5F8A">
      <w:rPr>
        <w:rStyle w:val="PageNumber"/>
        <w:color w:val="FFFFFF" w:themeColor="background1"/>
        <w:sz w:val="20"/>
        <w:szCs w:val="20"/>
      </w:rPr>
      <w:t xml:space="preserve">Page </w:t>
    </w:r>
    <w:r w:rsidR="002F1722" w:rsidRPr="00AF5F8A">
      <w:rPr>
        <w:rStyle w:val="PageNumber"/>
        <w:color w:val="FFFFFF" w:themeColor="background1"/>
        <w:sz w:val="20"/>
        <w:szCs w:val="20"/>
      </w:rPr>
      <w:fldChar w:fldCharType="begin"/>
    </w:r>
    <w:r w:rsidR="002F1722" w:rsidRPr="00AF5F8A">
      <w:rPr>
        <w:rStyle w:val="PageNumber"/>
        <w:color w:val="FFFFFF" w:themeColor="background1"/>
        <w:sz w:val="20"/>
        <w:szCs w:val="20"/>
      </w:rPr>
      <w:instrText xml:space="preserve"> PAGE </w:instrText>
    </w:r>
    <w:r w:rsidR="002F1722" w:rsidRPr="00AF5F8A">
      <w:rPr>
        <w:rStyle w:val="PageNumber"/>
        <w:color w:val="FFFFFF" w:themeColor="background1"/>
        <w:sz w:val="20"/>
        <w:szCs w:val="20"/>
      </w:rPr>
      <w:fldChar w:fldCharType="separate"/>
    </w:r>
    <w:r w:rsidR="002F1722" w:rsidRPr="00AF5F8A">
      <w:rPr>
        <w:rStyle w:val="PageNumber"/>
        <w:color w:val="FFFFFF" w:themeColor="background1"/>
        <w:sz w:val="20"/>
        <w:szCs w:val="20"/>
      </w:rPr>
      <w:t>1</w:t>
    </w:r>
    <w:r w:rsidR="002F1722" w:rsidRPr="00AF5F8A">
      <w:rPr>
        <w:rStyle w:val="PageNumber"/>
        <w:color w:val="FFFFFF" w:themeColor="background1"/>
        <w:sz w:val="20"/>
        <w:szCs w:val="20"/>
      </w:rPr>
      <w:fldChar w:fldCharType="end"/>
    </w:r>
    <w:r w:rsidR="002F1722" w:rsidRPr="00AF5F8A">
      <w:rPr>
        <w:rFonts w:cstheme="minorHAnsi"/>
        <w:color w:val="FFFFFF" w:themeColor="background1"/>
        <w:sz w:val="20"/>
        <w:szCs w:val="20"/>
      </w:rPr>
      <w:t>| Indicator 1</w:t>
    </w:r>
    <w:r w:rsidR="008427EA" w:rsidRPr="00AF5F8A">
      <w:rPr>
        <w:rFonts w:cstheme="minorHAnsi"/>
        <w:color w:val="FFFFFF" w:themeColor="background1"/>
        <w:sz w:val="20"/>
        <w:szCs w:val="20"/>
      </w:rPr>
      <w:t>4</w:t>
    </w:r>
    <w:r w:rsidR="002F1722" w:rsidRPr="00AF5F8A">
      <w:rPr>
        <w:rFonts w:cstheme="minorHAnsi"/>
        <w:color w:val="FFFFFF" w:themeColor="background1"/>
        <w:sz w:val="20"/>
        <w:szCs w:val="20"/>
      </w:rPr>
      <w:t xml:space="preserve"> Fact Sheet |</w:t>
    </w:r>
    <w:r w:rsidR="008427EA" w:rsidRPr="00AF5F8A">
      <w:rPr>
        <w:rFonts w:cstheme="minorHAnsi"/>
        <w:color w:val="FFFFFF" w:themeColor="background1"/>
        <w:sz w:val="20"/>
        <w:szCs w:val="20"/>
      </w:rPr>
      <w:t xml:space="preserve"> September 2021</w:t>
    </w:r>
    <w:r w:rsidR="002F1722" w:rsidRPr="00AF5F8A">
      <w:rPr>
        <w:rFonts w:cstheme="minorHAnsi"/>
        <w:color w:val="FFFFFF" w:themeColor="background1"/>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DBB0F" w14:textId="77777777" w:rsidR="00A07DBB" w:rsidRDefault="00A07DBB" w:rsidP="00C46BFB">
      <w:r>
        <w:separator/>
      </w:r>
    </w:p>
  </w:footnote>
  <w:footnote w:type="continuationSeparator" w:id="0">
    <w:p w14:paraId="159CF1C7" w14:textId="77777777" w:rsidR="00A07DBB" w:rsidRDefault="00A07DBB" w:rsidP="00C46BFB">
      <w:r>
        <w:continuationSeparator/>
      </w:r>
    </w:p>
  </w:footnote>
  <w:footnote w:type="continuationNotice" w:id="1">
    <w:p w14:paraId="70EDC54D" w14:textId="77777777" w:rsidR="00A07DBB" w:rsidRDefault="00A07DB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999B6" w14:textId="76892C64" w:rsidR="00220677" w:rsidRPr="00E41ECE" w:rsidRDefault="00C268F3" w:rsidP="00F877D5">
    <w:pPr>
      <w:pStyle w:val="Header"/>
      <w:tabs>
        <w:tab w:val="clear" w:pos="4680"/>
        <w:tab w:val="center" w:pos="3600"/>
        <w:tab w:val="right" w:pos="9000"/>
      </w:tabs>
      <w:ind w:left="2970" w:hanging="2970"/>
      <w:jc w:val="right"/>
      <w:rPr>
        <w:rFonts w:cs="Arial"/>
        <w:b/>
        <w:sz w:val="24"/>
        <w:szCs w:val="24"/>
      </w:rPr>
    </w:pPr>
    <w:r>
      <w:rPr>
        <w:noProof/>
      </w:rPr>
      <w:drawing>
        <wp:anchor distT="0" distB="0" distL="114300" distR="114300" simplePos="0" relativeHeight="251656704" behindDoc="1" locked="0" layoutInCell="1" allowOverlap="1" wp14:anchorId="5C7BBFED" wp14:editId="6BF26641">
          <wp:simplePos x="0" y="0"/>
          <wp:positionH relativeFrom="page">
            <wp:posOffset>-9525</wp:posOffset>
          </wp:positionH>
          <wp:positionV relativeFrom="paragraph">
            <wp:posOffset>-466725</wp:posOffset>
          </wp:positionV>
          <wp:extent cx="7771086" cy="1176728"/>
          <wp:effectExtent l="0" t="0" r="0" b="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771086" cy="1176728"/>
                  </a:xfrm>
                  <a:prstGeom prst="rect">
                    <a:avLst/>
                  </a:prstGeom>
                </pic:spPr>
              </pic:pic>
            </a:graphicData>
          </a:graphic>
          <wp14:sizeRelH relativeFrom="page">
            <wp14:pctWidth>0</wp14:pctWidth>
          </wp14:sizeRelH>
          <wp14:sizeRelV relativeFrom="page">
            <wp14:pctHeight>0</wp14:pctHeight>
          </wp14:sizeRelV>
        </wp:anchor>
      </w:drawing>
    </w:r>
    <w:r w:rsidR="00220677">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61570"/>
    <w:multiLevelType w:val="hybridMultilevel"/>
    <w:tmpl w:val="629C9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3E06B8"/>
    <w:multiLevelType w:val="hybridMultilevel"/>
    <w:tmpl w:val="D1D68CBA"/>
    <w:lvl w:ilvl="0" w:tplc="2EA6E11A">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6718F1"/>
    <w:multiLevelType w:val="hybridMultilevel"/>
    <w:tmpl w:val="4224B7C4"/>
    <w:lvl w:ilvl="0" w:tplc="8A206816">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9360C8"/>
    <w:multiLevelType w:val="hybridMultilevel"/>
    <w:tmpl w:val="4544C378"/>
    <w:lvl w:ilvl="0" w:tplc="61382C5A">
      <w:start w:val="1"/>
      <w:numFmt w:val="bullet"/>
      <w:lvlText w:val="•"/>
      <w:lvlJc w:val="left"/>
      <w:pPr>
        <w:tabs>
          <w:tab w:val="num" w:pos="720"/>
        </w:tabs>
        <w:ind w:left="720" w:hanging="360"/>
      </w:pPr>
      <w:rPr>
        <w:rFonts w:ascii="Arial" w:hAnsi="Arial" w:hint="default"/>
      </w:rPr>
    </w:lvl>
    <w:lvl w:ilvl="1" w:tplc="EE12D742" w:tentative="1">
      <w:start w:val="1"/>
      <w:numFmt w:val="bullet"/>
      <w:lvlText w:val="•"/>
      <w:lvlJc w:val="left"/>
      <w:pPr>
        <w:tabs>
          <w:tab w:val="num" w:pos="1440"/>
        </w:tabs>
        <w:ind w:left="1440" w:hanging="360"/>
      </w:pPr>
      <w:rPr>
        <w:rFonts w:ascii="Arial" w:hAnsi="Arial" w:hint="default"/>
      </w:rPr>
    </w:lvl>
    <w:lvl w:ilvl="2" w:tplc="903E2A6E" w:tentative="1">
      <w:start w:val="1"/>
      <w:numFmt w:val="bullet"/>
      <w:lvlText w:val="•"/>
      <w:lvlJc w:val="left"/>
      <w:pPr>
        <w:tabs>
          <w:tab w:val="num" w:pos="2160"/>
        </w:tabs>
        <w:ind w:left="2160" w:hanging="360"/>
      </w:pPr>
      <w:rPr>
        <w:rFonts w:ascii="Arial" w:hAnsi="Arial" w:hint="default"/>
      </w:rPr>
    </w:lvl>
    <w:lvl w:ilvl="3" w:tplc="2A0A113C" w:tentative="1">
      <w:start w:val="1"/>
      <w:numFmt w:val="bullet"/>
      <w:lvlText w:val="•"/>
      <w:lvlJc w:val="left"/>
      <w:pPr>
        <w:tabs>
          <w:tab w:val="num" w:pos="2880"/>
        </w:tabs>
        <w:ind w:left="2880" w:hanging="360"/>
      </w:pPr>
      <w:rPr>
        <w:rFonts w:ascii="Arial" w:hAnsi="Arial" w:hint="default"/>
      </w:rPr>
    </w:lvl>
    <w:lvl w:ilvl="4" w:tplc="AE92AA7C" w:tentative="1">
      <w:start w:val="1"/>
      <w:numFmt w:val="bullet"/>
      <w:lvlText w:val="•"/>
      <w:lvlJc w:val="left"/>
      <w:pPr>
        <w:tabs>
          <w:tab w:val="num" w:pos="3600"/>
        </w:tabs>
        <w:ind w:left="3600" w:hanging="360"/>
      </w:pPr>
      <w:rPr>
        <w:rFonts w:ascii="Arial" w:hAnsi="Arial" w:hint="default"/>
      </w:rPr>
    </w:lvl>
    <w:lvl w:ilvl="5" w:tplc="F04E5E90" w:tentative="1">
      <w:start w:val="1"/>
      <w:numFmt w:val="bullet"/>
      <w:lvlText w:val="•"/>
      <w:lvlJc w:val="left"/>
      <w:pPr>
        <w:tabs>
          <w:tab w:val="num" w:pos="4320"/>
        </w:tabs>
        <w:ind w:left="4320" w:hanging="360"/>
      </w:pPr>
      <w:rPr>
        <w:rFonts w:ascii="Arial" w:hAnsi="Arial" w:hint="default"/>
      </w:rPr>
    </w:lvl>
    <w:lvl w:ilvl="6" w:tplc="3FA4F4F2" w:tentative="1">
      <w:start w:val="1"/>
      <w:numFmt w:val="bullet"/>
      <w:lvlText w:val="•"/>
      <w:lvlJc w:val="left"/>
      <w:pPr>
        <w:tabs>
          <w:tab w:val="num" w:pos="5040"/>
        </w:tabs>
        <w:ind w:left="5040" w:hanging="360"/>
      </w:pPr>
      <w:rPr>
        <w:rFonts w:ascii="Arial" w:hAnsi="Arial" w:hint="default"/>
      </w:rPr>
    </w:lvl>
    <w:lvl w:ilvl="7" w:tplc="9E06C770" w:tentative="1">
      <w:start w:val="1"/>
      <w:numFmt w:val="bullet"/>
      <w:lvlText w:val="•"/>
      <w:lvlJc w:val="left"/>
      <w:pPr>
        <w:tabs>
          <w:tab w:val="num" w:pos="5760"/>
        </w:tabs>
        <w:ind w:left="5760" w:hanging="360"/>
      </w:pPr>
      <w:rPr>
        <w:rFonts w:ascii="Arial" w:hAnsi="Arial" w:hint="default"/>
      </w:rPr>
    </w:lvl>
    <w:lvl w:ilvl="8" w:tplc="B334533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6CF3973"/>
    <w:multiLevelType w:val="hybridMultilevel"/>
    <w:tmpl w:val="7D9C7014"/>
    <w:lvl w:ilvl="0" w:tplc="1CCE4EFA">
      <w:start w:val="1"/>
      <w:numFmt w:val="bullet"/>
      <w:lvlText w:val="•"/>
      <w:lvlJc w:val="left"/>
      <w:pPr>
        <w:tabs>
          <w:tab w:val="num" w:pos="720"/>
        </w:tabs>
        <w:ind w:left="720" w:hanging="360"/>
      </w:pPr>
      <w:rPr>
        <w:rFonts w:ascii="Arial" w:hAnsi="Arial" w:hint="default"/>
      </w:rPr>
    </w:lvl>
    <w:lvl w:ilvl="1" w:tplc="63866DFA" w:tentative="1">
      <w:start w:val="1"/>
      <w:numFmt w:val="bullet"/>
      <w:lvlText w:val="•"/>
      <w:lvlJc w:val="left"/>
      <w:pPr>
        <w:tabs>
          <w:tab w:val="num" w:pos="1440"/>
        </w:tabs>
        <w:ind w:left="1440" w:hanging="360"/>
      </w:pPr>
      <w:rPr>
        <w:rFonts w:ascii="Arial" w:hAnsi="Arial" w:hint="default"/>
      </w:rPr>
    </w:lvl>
    <w:lvl w:ilvl="2" w:tplc="975AF37A" w:tentative="1">
      <w:start w:val="1"/>
      <w:numFmt w:val="bullet"/>
      <w:lvlText w:val="•"/>
      <w:lvlJc w:val="left"/>
      <w:pPr>
        <w:tabs>
          <w:tab w:val="num" w:pos="2160"/>
        </w:tabs>
        <w:ind w:left="2160" w:hanging="360"/>
      </w:pPr>
      <w:rPr>
        <w:rFonts w:ascii="Arial" w:hAnsi="Arial" w:hint="default"/>
      </w:rPr>
    </w:lvl>
    <w:lvl w:ilvl="3" w:tplc="30EC330E" w:tentative="1">
      <w:start w:val="1"/>
      <w:numFmt w:val="bullet"/>
      <w:lvlText w:val="•"/>
      <w:lvlJc w:val="left"/>
      <w:pPr>
        <w:tabs>
          <w:tab w:val="num" w:pos="2880"/>
        </w:tabs>
        <w:ind w:left="2880" w:hanging="360"/>
      </w:pPr>
      <w:rPr>
        <w:rFonts w:ascii="Arial" w:hAnsi="Arial" w:hint="default"/>
      </w:rPr>
    </w:lvl>
    <w:lvl w:ilvl="4" w:tplc="0E32EBCC" w:tentative="1">
      <w:start w:val="1"/>
      <w:numFmt w:val="bullet"/>
      <w:lvlText w:val="•"/>
      <w:lvlJc w:val="left"/>
      <w:pPr>
        <w:tabs>
          <w:tab w:val="num" w:pos="3600"/>
        </w:tabs>
        <w:ind w:left="3600" w:hanging="360"/>
      </w:pPr>
      <w:rPr>
        <w:rFonts w:ascii="Arial" w:hAnsi="Arial" w:hint="default"/>
      </w:rPr>
    </w:lvl>
    <w:lvl w:ilvl="5" w:tplc="B310026A" w:tentative="1">
      <w:start w:val="1"/>
      <w:numFmt w:val="bullet"/>
      <w:lvlText w:val="•"/>
      <w:lvlJc w:val="left"/>
      <w:pPr>
        <w:tabs>
          <w:tab w:val="num" w:pos="4320"/>
        </w:tabs>
        <w:ind w:left="4320" w:hanging="360"/>
      </w:pPr>
      <w:rPr>
        <w:rFonts w:ascii="Arial" w:hAnsi="Arial" w:hint="default"/>
      </w:rPr>
    </w:lvl>
    <w:lvl w:ilvl="6" w:tplc="0FC8AECC" w:tentative="1">
      <w:start w:val="1"/>
      <w:numFmt w:val="bullet"/>
      <w:lvlText w:val="•"/>
      <w:lvlJc w:val="left"/>
      <w:pPr>
        <w:tabs>
          <w:tab w:val="num" w:pos="5040"/>
        </w:tabs>
        <w:ind w:left="5040" w:hanging="360"/>
      </w:pPr>
      <w:rPr>
        <w:rFonts w:ascii="Arial" w:hAnsi="Arial" w:hint="default"/>
      </w:rPr>
    </w:lvl>
    <w:lvl w:ilvl="7" w:tplc="4358F030" w:tentative="1">
      <w:start w:val="1"/>
      <w:numFmt w:val="bullet"/>
      <w:lvlText w:val="•"/>
      <w:lvlJc w:val="left"/>
      <w:pPr>
        <w:tabs>
          <w:tab w:val="num" w:pos="5760"/>
        </w:tabs>
        <w:ind w:left="5760" w:hanging="360"/>
      </w:pPr>
      <w:rPr>
        <w:rFonts w:ascii="Arial" w:hAnsi="Arial" w:hint="default"/>
      </w:rPr>
    </w:lvl>
    <w:lvl w:ilvl="8" w:tplc="FC9EF7C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8A0656A"/>
    <w:multiLevelType w:val="hybridMultilevel"/>
    <w:tmpl w:val="22B61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645CA2"/>
    <w:multiLevelType w:val="hybridMultilevel"/>
    <w:tmpl w:val="86341AB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42705A"/>
    <w:multiLevelType w:val="hybridMultilevel"/>
    <w:tmpl w:val="8B9677A6"/>
    <w:lvl w:ilvl="0" w:tplc="9AAEA398">
      <w:start w:val="202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5E3D06"/>
    <w:multiLevelType w:val="hybridMultilevel"/>
    <w:tmpl w:val="9B0479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984AAE"/>
    <w:multiLevelType w:val="hybridMultilevel"/>
    <w:tmpl w:val="623AA9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9A0E17"/>
    <w:multiLevelType w:val="hybridMultilevel"/>
    <w:tmpl w:val="2B9EBBE2"/>
    <w:lvl w:ilvl="0" w:tplc="72687766">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0C0CBF"/>
    <w:multiLevelType w:val="hybridMultilevel"/>
    <w:tmpl w:val="CB3E9EC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9B461C"/>
    <w:multiLevelType w:val="hybridMultilevel"/>
    <w:tmpl w:val="CE0413EA"/>
    <w:lvl w:ilvl="0" w:tplc="F4F275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0D571F"/>
    <w:multiLevelType w:val="hybridMultilevel"/>
    <w:tmpl w:val="37727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083928"/>
    <w:multiLevelType w:val="hybridMultilevel"/>
    <w:tmpl w:val="6E10C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BB673C"/>
    <w:multiLevelType w:val="hybridMultilevel"/>
    <w:tmpl w:val="4F2CD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FC40F0"/>
    <w:multiLevelType w:val="hybridMultilevel"/>
    <w:tmpl w:val="A60818B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9E6FF7"/>
    <w:multiLevelType w:val="hybridMultilevel"/>
    <w:tmpl w:val="7144C958"/>
    <w:lvl w:ilvl="0" w:tplc="E4B80C74">
      <w:start w:val="1"/>
      <w:numFmt w:val="bullet"/>
      <w:lvlText w:val="•"/>
      <w:lvlJc w:val="left"/>
      <w:pPr>
        <w:tabs>
          <w:tab w:val="num" w:pos="720"/>
        </w:tabs>
        <w:ind w:left="720" w:hanging="360"/>
      </w:pPr>
      <w:rPr>
        <w:rFonts w:ascii="Arial" w:hAnsi="Arial" w:hint="default"/>
      </w:rPr>
    </w:lvl>
    <w:lvl w:ilvl="1" w:tplc="2E443D8A" w:tentative="1">
      <w:start w:val="1"/>
      <w:numFmt w:val="bullet"/>
      <w:lvlText w:val="•"/>
      <w:lvlJc w:val="left"/>
      <w:pPr>
        <w:tabs>
          <w:tab w:val="num" w:pos="1440"/>
        </w:tabs>
        <w:ind w:left="1440" w:hanging="360"/>
      </w:pPr>
      <w:rPr>
        <w:rFonts w:ascii="Arial" w:hAnsi="Arial" w:hint="default"/>
      </w:rPr>
    </w:lvl>
    <w:lvl w:ilvl="2" w:tplc="3FCE3F44" w:tentative="1">
      <w:start w:val="1"/>
      <w:numFmt w:val="bullet"/>
      <w:lvlText w:val="•"/>
      <w:lvlJc w:val="left"/>
      <w:pPr>
        <w:tabs>
          <w:tab w:val="num" w:pos="2160"/>
        </w:tabs>
        <w:ind w:left="2160" w:hanging="360"/>
      </w:pPr>
      <w:rPr>
        <w:rFonts w:ascii="Arial" w:hAnsi="Arial" w:hint="default"/>
      </w:rPr>
    </w:lvl>
    <w:lvl w:ilvl="3" w:tplc="A14C8498" w:tentative="1">
      <w:start w:val="1"/>
      <w:numFmt w:val="bullet"/>
      <w:lvlText w:val="•"/>
      <w:lvlJc w:val="left"/>
      <w:pPr>
        <w:tabs>
          <w:tab w:val="num" w:pos="2880"/>
        </w:tabs>
        <w:ind w:left="2880" w:hanging="360"/>
      </w:pPr>
      <w:rPr>
        <w:rFonts w:ascii="Arial" w:hAnsi="Arial" w:hint="default"/>
      </w:rPr>
    </w:lvl>
    <w:lvl w:ilvl="4" w:tplc="3BB03A08" w:tentative="1">
      <w:start w:val="1"/>
      <w:numFmt w:val="bullet"/>
      <w:lvlText w:val="•"/>
      <w:lvlJc w:val="left"/>
      <w:pPr>
        <w:tabs>
          <w:tab w:val="num" w:pos="3600"/>
        </w:tabs>
        <w:ind w:left="3600" w:hanging="360"/>
      </w:pPr>
      <w:rPr>
        <w:rFonts w:ascii="Arial" w:hAnsi="Arial" w:hint="default"/>
      </w:rPr>
    </w:lvl>
    <w:lvl w:ilvl="5" w:tplc="AE80196E" w:tentative="1">
      <w:start w:val="1"/>
      <w:numFmt w:val="bullet"/>
      <w:lvlText w:val="•"/>
      <w:lvlJc w:val="left"/>
      <w:pPr>
        <w:tabs>
          <w:tab w:val="num" w:pos="4320"/>
        </w:tabs>
        <w:ind w:left="4320" w:hanging="360"/>
      </w:pPr>
      <w:rPr>
        <w:rFonts w:ascii="Arial" w:hAnsi="Arial" w:hint="default"/>
      </w:rPr>
    </w:lvl>
    <w:lvl w:ilvl="6" w:tplc="EB78F916" w:tentative="1">
      <w:start w:val="1"/>
      <w:numFmt w:val="bullet"/>
      <w:lvlText w:val="•"/>
      <w:lvlJc w:val="left"/>
      <w:pPr>
        <w:tabs>
          <w:tab w:val="num" w:pos="5040"/>
        </w:tabs>
        <w:ind w:left="5040" w:hanging="360"/>
      </w:pPr>
      <w:rPr>
        <w:rFonts w:ascii="Arial" w:hAnsi="Arial" w:hint="default"/>
      </w:rPr>
    </w:lvl>
    <w:lvl w:ilvl="7" w:tplc="73DA0304" w:tentative="1">
      <w:start w:val="1"/>
      <w:numFmt w:val="bullet"/>
      <w:lvlText w:val="•"/>
      <w:lvlJc w:val="left"/>
      <w:pPr>
        <w:tabs>
          <w:tab w:val="num" w:pos="5760"/>
        </w:tabs>
        <w:ind w:left="5760" w:hanging="360"/>
      </w:pPr>
      <w:rPr>
        <w:rFonts w:ascii="Arial" w:hAnsi="Arial" w:hint="default"/>
      </w:rPr>
    </w:lvl>
    <w:lvl w:ilvl="8" w:tplc="F24CFDC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57C024E"/>
    <w:multiLevelType w:val="hybridMultilevel"/>
    <w:tmpl w:val="1856F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2F29F9"/>
    <w:multiLevelType w:val="hybridMultilevel"/>
    <w:tmpl w:val="CB3E9EC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24487C"/>
    <w:multiLevelType w:val="hybridMultilevel"/>
    <w:tmpl w:val="F88217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F1F58BF"/>
    <w:multiLevelType w:val="hybridMultilevel"/>
    <w:tmpl w:val="B1EE7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F55D14"/>
    <w:multiLevelType w:val="hybridMultilevel"/>
    <w:tmpl w:val="FCEA3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8F16FA"/>
    <w:multiLevelType w:val="hybridMultilevel"/>
    <w:tmpl w:val="D5D03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69318E"/>
    <w:multiLevelType w:val="hybridMultilevel"/>
    <w:tmpl w:val="D29A12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322676"/>
    <w:multiLevelType w:val="hybridMultilevel"/>
    <w:tmpl w:val="61A0C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5D07E9"/>
    <w:multiLevelType w:val="hybridMultilevel"/>
    <w:tmpl w:val="CDA6FC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AD745E"/>
    <w:multiLevelType w:val="hybridMultilevel"/>
    <w:tmpl w:val="31447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DB4FA1"/>
    <w:multiLevelType w:val="hybridMultilevel"/>
    <w:tmpl w:val="22767A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EA554FA"/>
    <w:multiLevelType w:val="hybridMultilevel"/>
    <w:tmpl w:val="E698DF72"/>
    <w:lvl w:ilvl="0" w:tplc="AB9E4F4E">
      <w:start w:val="1"/>
      <w:numFmt w:val="lowerLetter"/>
      <w:lvlText w:val="%1)"/>
      <w:lvlJc w:val="left"/>
      <w:pPr>
        <w:ind w:left="720" w:hanging="360"/>
      </w:pPr>
      <w:rPr>
        <w:rFonts w:hint="default"/>
        <w:b/>
        <w:bCs/>
      </w:rPr>
    </w:lvl>
    <w:lvl w:ilvl="1" w:tplc="F4F275A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0604388"/>
    <w:multiLevelType w:val="hybridMultilevel"/>
    <w:tmpl w:val="D1948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5F6FE4"/>
    <w:multiLevelType w:val="hybridMultilevel"/>
    <w:tmpl w:val="8604A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4032BF"/>
    <w:multiLevelType w:val="hybridMultilevel"/>
    <w:tmpl w:val="6E10C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612B49"/>
    <w:multiLevelType w:val="hybridMultilevel"/>
    <w:tmpl w:val="D5D03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F143C4"/>
    <w:multiLevelType w:val="hybridMultilevel"/>
    <w:tmpl w:val="D648345C"/>
    <w:lvl w:ilvl="0" w:tplc="02FCEFCC">
      <w:start w:val="1"/>
      <w:numFmt w:val="bullet"/>
      <w:lvlText w:val="•"/>
      <w:lvlJc w:val="left"/>
      <w:pPr>
        <w:tabs>
          <w:tab w:val="num" w:pos="720"/>
        </w:tabs>
        <w:ind w:left="720" w:hanging="360"/>
      </w:pPr>
      <w:rPr>
        <w:rFonts w:ascii="Arial" w:hAnsi="Arial" w:hint="default"/>
      </w:rPr>
    </w:lvl>
    <w:lvl w:ilvl="1" w:tplc="2F02CD74" w:tentative="1">
      <w:start w:val="1"/>
      <w:numFmt w:val="bullet"/>
      <w:lvlText w:val="•"/>
      <w:lvlJc w:val="left"/>
      <w:pPr>
        <w:tabs>
          <w:tab w:val="num" w:pos="1440"/>
        </w:tabs>
        <w:ind w:left="1440" w:hanging="360"/>
      </w:pPr>
      <w:rPr>
        <w:rFonts w:ascii="Arial" w:hAnsi="Arial" w:hint="default"/>
      </w:rPr>
    </w:lvl>
    <w:lvl w:ilvl="2" w:tplc="6010C8DC" w:tentative="1">
      <w:start w:val="1"/>
      <w:numFmt w:val="bullet"/>
      <w:lvlText w:val="•"/>
      <w:lvlJc w:val="left"/>
      <w:pPr>
        <w:tabs>
          <w:tab w:val="num" w:pos="2160"/>
        </w:tabs>
        <w:ind w:left="2160" w:hanging="360"/>
      </w:pPr>
      <w:rPr>
        <w:rFonts w:ascii="Arial" w:hAnsi="Arial" w:hint="default"/>
      </w:rPr>
    </w:lvl>
    <w:lvl w:ilvl="3" w:tplc="3154AB56" w:tentative="1">
      <w:start w:val="1"/>
      <w:numFmt w:val="bullet"/>
      <w:lvlText w:val="•"/>
      <w:lvlJc w:val="left"/>
      <w:pPr>
        <w:tabs>
          <w:tab w:val="num" w:pos="2880"/>
        </w:tabs>
        <w:ind w:left="2880" w:hanging="360"/>
      </w:pPr>
      <w:rPr>
        <w:rFonts w:ascii="Arial" w:hAnsi="Arial" w:hint="default"/>
      </w:rPr>
    </w:lvl>
    <w:lvl w:ilvl="4" w:tplc="8F2E4F2C" w:tentative="1">
      <w:start w:val="1"/>
      <w:numFmt w:val="bullet"/>
      <w:lvlText w:val="•"/>
      <w:lvlJc w:val="left"/>
      <w:pPr>
        <w:tabs>
          <w:tab w:val="num" w:pos="3600"/>
        </w:tabs>
        <w:ind w:left="3600" w:hanging="360"/>
      </w:pPr>
      <w:rPr>
        <w:rFonts w:ascii="Arial" w:hAnsi="Arial" w:hint="default"/>
      </w:rPr>
    </w:lvl>
    <w:lvl w:ilvl="5" w:tplc="D3E6CD54" w:tentative="1">
      <w:start w:val="1"/>
      <w:numFmt w:val="bullet"/>
      <w:lvlText w:val="•"/>
      <w:lvlJc w:val="left"/>
      <w:pPr>
        <w:tabs>
          <w:tab w:val="num" w:pos="4320"/>
        </w:tabs>
        <w:ind w:left="4320" w:hanging="360"/>
      </w:pPr>
      <w:rPr>
        <w:rFonts w:ascii="Arial" w:hAnsi="Arial" w:hint="default"/>
      </w:rPr>
    </w:lvl>
    <w:lvl w:ilvl="6" w:tplc="B69AE298" w:tentative="1">
      <w:start w:val="1"/>
      <w:numFmt w:val="bullet"/>
      <w:lvlText w:val="•"/>
      <w:lvlJc w:val="left"/>
      <w:pPr>
        <w:tabs>
          <w:tab w:val="num" w:pos="5040"/>
        </w:tabs>
        <w:ind w:left="5040" w:hanging="360"/>
      </w:pPr>
      <w:rPr>
        <w:rFonts w:ascii="Arial" w:hAnsi="Arial" w:hint="default"/>
      </w:rPr>
    </w:lvl>
    <w:lvl w:ilvl="7" w:tplc="81B46CEE" w:tentative="1">
      <w:start w:val="1"/>
      <w:numFmt w:val="bullet"/>
      <w:lvlText w:val="•"/>
      <w:lvlJc w:val="left"/>
      <w:pPr>
        <w:tabs>
          <w:tab w:val="num" w:pos="5760"/>
        </w:tabs>
        <w:ind w:left="5760" w:hanging="360"/>
      </w:pPr>
      <w:rPr>
        <w:rFonts w:ascii="Arial" w:hAnsi="Arial" w:hint="default"/>
      </w:rPr>
    </w:lvl>
    <w:lvl w:ilvl="8" w:tplc="77E89E9E"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3CD6CC6"/>
    <w:multiLevelType w:val="hybridMultilevel"/>
    <w:tmpl w:val="CB3E9EC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6740A7"/>
    <w:multiLevelType w:val="hybridMultilevel"/>
    <w:tmpl w:val="F33CE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D258C2"/>
    <w:multiLevelType w:val="hybridMultilevel"/>
    <w:tmpl w:val="B1AA51F0"/>
    <w:lvl w:ilvl="0" w:tplc="C86C9282">
      <w:start w:val="1"/>
      <w:numFmt w:val="bullet"/>
      <w:lvlText w:val="•"/>
      <w:lvlJc w:val="left"/>
      <w:pPr>
        <w:tabs>
          <w:tab w:val="num" w:pos="720"/>
        </w:tabs>
        <w:ind w:left="720" w:hanging="360"/>
      </w:pPr>
      <w:rPr>
        <w:rFonts w:ascii="Arial" w:hAnsi="Arial" w:hint="default"/>
      </w:rPr>
    </w:lvl>
    <w:lvl w:ilvl="1" w:tplc="2D9C2774" w:tentative="1">
      <w:start w:val="1"/>
      <w:numFmt w:val="bullet"/>
      <w:lvlText w:val="•"/>
      <w:lvlJc w:val="left"/>
      <w:pPr>
        <w:tabs>
          <w:tab w:val="num" w:pos="1440"/>
        </w:tabs>
        <w:ind w:left="1440" w:hanging="360"/>
      </w:pPr>
      <w:rPr>
        <w:rFonts w:ascii="Arial" w:hAnsi="Arial" w:hint="default"/>
      </w:rPr>
    </w:lvl>
    <w:lvl w:ilvl="2" w:tplc="199CBF0C" w:tentative="1">
      <w:start w:val="1"/>
      <w:numFmt w:val="bullet"/>
      <w:lvlText w:val="•"/>
      <w:lvlJc w:val="left"/>
      <w:pPr>
        <w:tabs>
          <w:tab w:val="num" w:pos="2160"/>
        </w:tabs>
        <w:ind w:left="2160" w:hanging="360"/>
      </w:pPr>
      <w:rPr>
        <w:rFonts w:ascii="Arial" w:hAnsi="Arial" w:hint="default"/>
      </w:rPr>
    </w:lvl>
    <w:lvl w:ilvl="3" w:tplc="E608524E" w:tentative="1">
      <w:start w:val="1"/>
      <w:numFmt w:val="bullet"/>
      <w:lvlText w:val="•"/>
      <w:lvlJc w:val="left"/>
      <w:pPr>
        <w:tabs>
          <w:tab w:val="num" w:pos="2880"/>
        </w:tabs>
        <w:ind w:left="2880" w:hanging="360"/>
      </w:pPr>
      <w:rPr>
        <w:rFonts w:ascii="Arial" w:hAnsi="Arial" w:hint="default"/>
      </w:rPr>
    </w:lvl>
    <w:lvl w:ilvl="4" w:tplc="FB8CBB6A" w:tentative="1">
      <w:start w:val="1"/>
      <w:numFmt w:val="bullet"/>
      <w:lvlText w:val="•"/>
      <w:lvlJc w:val="left"/>
      <w:pPr>
        <w:tabs>
          <w:tab w:val="num" w:pos="3600"/>
        </w:tabs>
        <w:ind w:left="3600" w:hanging="360"/>
      </w:pPr>
      <w:rPr>
        <w:rFonts w:ascii="Arial" w:hAnsi="Arial" w:hint="default"/>
      </w:rPr>
    </w:lvl>
    <w:lvl w:ilvl="5" w:tplc="81529652" w:tentative="1">
      <w:start w:val="1"/>
      <w:numFmt w:val="bullet"/>
      <w:lvlText w:val="•"/>
      <w:lvlJc w:val="left"/>
      <w:pPr>
        <w:tabs>
          <w:tab w:val="num" w:pos="4320"/>
        </w:tabs>
        <w:ind w:left="4320" w:hanging="360"/>
      </w:pPr>
      <w:rPr>
        <w:rFonts w:ascii="Arial" w:hAnsi="Arial" w:hint="default"/>
      </w:rPr>
    </w:lvl>
    <w:lvl w:ilvl="6" w:tplc="74045670" w:tentative="1">
      <w:start w:val="1"/>
      <w:numFmt w:val="bullet"/>
      <w:lvlText w:val="•"/>
      <w:lvlJc w:val="left"/>
      <w:pPr>
        <w:tabs>
          <w:tab w:val="num" w:pos="5040"/>
        </w:tabs>
        <w:ind w:left="5040" w:hanging="360"/>
      </w:pPr>
      <w:rPr>
        <w:rFonts w:ascii="Arial" w:hAnsi="Arial" w:hint="default"/>
      </w:rPr>
    </w:lvl>
    <w:lvl w:ilvl="7" w:tplc="69FE956E" w:tentative="1">
      <w:start w:val="1"/>
      <w:numFmt w:val="bullet"/>
      <w:lvlText w:val="•"/>
      <w:lvlJc w:val="left"/>
      <w:pPr>
        <w:tabs>
          <w:tab w:val="num" w:pos="5760"/>
        </w:tabs>
        <w:ind w:left="5760" w:hanging="360"/>
      </w:pPr>
      <w:rPr>
        <w:rFonts w:ascii="Arial" w:hAnsi="Arial" w:hint="default"/>
      </w:rPr>
    </w:lvl>
    <w:lvl w:ilvl="8" w:tplc="2438CB8C"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0AB12E3"/>
    <w:multiLevelType w:val="hybridMultilevel"/>
    <w:tmpl w:val="4224B7C4"/>
    <w:lvl w:ilvl="0" w:tplc="8A206816">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2C1C3E"/>
    <w:multiLevelType w:val="hybridMultilevel"/>
    <w:tmpl w:val="7144D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A42354"/>
    <w:multiLevelType w:val="hybridMultilevel"/>
    <w:tmpl w:val="9B0479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25323D"/>
    <w:multiLevelType w:val="hybridMultilevel"/>
    <w:tmpl w:val="3880F09C"/>
    <w:lvl w:ilvl="0" w:tplc="04090017">
      <w:start w:val="1"/>
      <w:numFmt w:val="lowerLetter"/>
      <w:lvlText w:val="%1)"/>
      <w:lvlJc w:val="left"/>
      <w:pPr>
        <w:ind w:left="720" w:hanging="360"/>
      </w:pPr>
      <w:rPr>
        <w:rFonts w:hint="default"/>
      </w:rPr>
    </w:lvl>
    <w:lvl w:ilvl="1" w:tplc="F4F275A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B1D5FA5"/>
    <w:multiLevelType w:val="hybridMultilevel"/>
    <w:tmpl w:val="FB7C8A84"/>
    <w:lvl w:ilvl="0" w:tplc="60FE552E">
      <w:start w:val="1"/>
      <w:numFmt w:val="bullet"/>
      <w:lvlText w:val="•"/>
      <w:lvlJc w:val="left"/>
      <w:pPr>
        <w:tabs>
          <w:tab w:val="num" w:pos="720"/>
        </w:tabs>
        <w:ind w:left="720" w:hanging="360"/>
      </w:pPr>
      <w:rPr>
        <w:rFonts w:ascii="Arial" w:hAnsi="Arial" w:hint="default"/>
      </w:rPr>
    </w:lvl>
    <w:lvl w:ilvl="1" w:tplc="4F306172" w:tentative="1">
      <w:start w:val="1"/>
      <w:numFmt w:val="bullet"/>
      <w:lvlText w:val="•"/>
      <w:lvlJc w:val="left"/>
      <w:pPr>
        <w:tabs>
          <w:tab w:val="num" w:pos="1440"/>
        </w:tabs>
        <w:ind w:left="1440" w:hanging="360"/>
      </w:pPr>
      <w:rPr>
        <w:rFonts w:ascii="Arial" w:hAnsi="Arial" w:hint="default"/>
      </w:rPr>
    </w:lvl>
    <w:lvl w:ilvl="2" w:tplc="D110E6AE" w:tentative="1">
      <w:start w:val="1"/>
      <w:numFmt w:val="bullet"/>
      <w:lvlText w:val="•"/>
      <w:lvlJc w:val="left"/>
      <w:pPr>
        <w:tabs>
          <w:tab w:val="num" w:pos="2160"/>
        </w:tabs>
        <w:ind w:left="2160" w:hanging="360"/>
      </w:pPr>
      <w:rPr>
        <w:rFonts w:ascii="Arial" w:hAnsi="Arial" w:hint="default"/>
      </w:rPr>
    </w:lvl>
    <w:lvl w:ilvl="3" w:tplc="438E1A46" w:tentative="1">
      <w:start w:val="1"/>
      <w:numFmt w:val="bullet"/>
      <w:lvlText w:val="•"/>
      <w:lvlJc w:val="left"/>
      <w:pPr>
        <w:tabs>
          <w:tab w:val="num" w:pos="2880"/>
        </w:tabs>
        <w:ind w:left="2880" w:hanging="360"/>
      </w:pPr>
      <w:rPr>
        <w:rFonts w:ascii="Arial" w:hAnsi="Arial" w:hint="default"/>
      </w:rPr>
    </w:lvl>
    <w:lvl w:ilvl="4" w:tplc="561019A6" w:tentative="1">
      <w:start w:val="1"/>
      <w:numFmt w:val="bullet"/>
      <w:lvlText w:val="•"/>
      <w:lvlJc w:val="left"/>
      <w:pPr>
        <w:tabs>
          <w:tab w:val="num" w:pos="3600"/>
        </w:tabs>
        <w:ind w:left="3600" w:hanging="360"/>
      </w:pPr>
      <w:rPr>
        <w:rFonts w:ascii="Arial" w:hAnsi="Arial" w:hint="default"/>
      </w:rPr>
    </w:lvl>
    <w:lvl w:ilvl="5" w:tplc="5EE4E97E" w:tentative="1">
      <w:start w:val="1"/>
      <w:numFmt w:val="bullet"/>
      <w:lvlText w:val="•"/>
      <w:lvlJc w:val="left"/>
      <w:pPr>
        <w:tabs>
          <w:tab w:val="num" w:pos="4320"/>
        </w:tabs>
        <w:ind w:left="4320" w:hanging="360"/>
      </w:pPr>
      <w:rPr>
        <w:rFonts w:ascii="Arial" w:hAnsi="Arial" w:hint="default"/>
      </w:rPr>
    </w:lvl>
    <w:lvl w:ilvl="6" w:tplc="19D0A5DC" w:tentative="1">
      <w:start w:val="1"/>
      <w:numFmt w:val="bullet"/>
      <w:lvlText w:val="•"/>
      <w:lvlJc w:val="left"/>
      <w:pPr>
        <w:tabs>
          <w:tab w:val="num" w:pos="5040"/>
        </w:tabs>
        <w:ind w:left="5040" w:hanging="360"/>
      </w:pPr>
      <w:rPr>
        <w:rFonts w:ascii="Arial" w:hAnsi="Arial" w:hint="default"/>
      </w:rPr>
    </w:lvl>
    <w:lvl w:ilvl="7" w:tplc="6AA6F274" w:tentative="1">
      <w:start w:val="1"/>
      <w:numFmt w:val="bullet"/>
      <w:lvlText w:val="•"/>
      <w:lvlJc w:val="left"/>
      <w:pPr>
        <w:tabs>
          <w:tab w:val="num" w:pos="5760"/>
        </w:tabs>
        <w:ind w:left="5760" w:hanging="360"/>
      </w:pPr>
      <w:rPr>
        <w:rFonts w:ascii="Arial" w:hAnsi="Arial" w:hint="default"/>
      </w:rPr>
    </w:lvl>
    <w:lvl w:ilvl="8" w:tplc="FB4087DE"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D893F7C"/>
    <w:multiLevelType w:val="hybridMultilevel"/>
    <w:tmpl w:val="8F7AB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14"/>
  </w:num>
  <w:num w:numId="3">
    <w:abstractNumId w:val="23"/>
  </w:num>
  <w:num w:numId="4">
    <w:abstractNumId w:val="33"/>
  </w:num>
  <w:num w:numId="5">
    <w:abstractNumId w:val="8"/>
  </w:num>
  <w:num w:numId="6">
    <w:abstractNumId w:val="32"/>
  </w:num>
  <w:num w:numId="7">
    <w:abstractNumId w:val="19"/>
  </w:num>
  <w:num w:numId="8">
    <w:abstractNumId w:val="35"/>
  </w:num>
  <w:num w:numId="9">
    <w:abstractNumId w:val="11"/>
  </w:num>
  <w:num w:numId="10">
    <w:abstractNumId w:val="22"/>
  </w:num>
  <w:num w:numId="11">
    <w:abstractNumId w:val="5"/>
  </w:num>
  <w:num w:numId="12">
    <w:abstractNumId w:val="39"/>
  </w:num>
  <w:num w:numId="13">
    <w:abstractNumId w:val="24"/>
  </w:num>
  <w:num w:numId="14">
    <w:abstractNumId w:val="1"/>
  </w:num>
  <w:num w:numId="15">
    <w:abstractNumId w:val="7"/>
  </w:num>
  <w:num w:numId="16">
    <w:abstractNumId w:val="26"/>
  </w:num>
  <w:num w:numId="17">
    <w:abstractNumId w:val="29"/>
  </w:num>
  <w:num w:numId="18">
    <w:abstractNumId w:val="6"/>
  </w:num>
  <w:num w:numId="19">
    <w:abstractNumId w:val="38"/>
  </w:num>
  <w:num w:numId="20">
    <w:abstractNumId w:val="10"/>
  </w:num>
  <w:num w:numId="21">
    <w:abstractNumId w:val="2"/>
  </w:num>
  <w:num w:numId="22">
    <w:abstractNumId w:val="9"/>
  </w:num>
  <w:num w:numId="23">
    <w:abstractNumId w:val="43"/>
  </w:num>
  <w:num w:numId="24">
    <w:abstractNumId w:val="20"/>
  </w:num>
  <w:num w:numId="25">
    <w:abstractNumId w:val="16"/>
  </w:num>
  <w:num w:numId="26">
    <w:abstractNumId w:val="37"/>
  </w:num>
  <w:num w:numId="27">
    <w:abstractNumId w:val="28"/>
  </w:num>
  <w:num w:numId="28">
    <w:abstractNumId w:val="31"/>
  </w:num>
  <w:num w:numId="29">
    <w:abstractNumId w:val="12"/>
  </w:num>
  <w:num w:numId="30">
    <w:abstractNumId w:val="41"/>
  </w:num>
  <w:num w:numId="31">
    <w:abstractNumId w:val="4"/>
  </w:num>
  <w:num w:numId="32">
    <w:abstractNumId w:val="3"/>
  </w:num>
  <w:num w:numId="33">
    <w:abstractNumId w:val="34"/>
  </w:num>
  <w:num w:numId="34">
    <w:abstractNumId w:val="42"/>
  </w:num>
  <w:num w:numId="35">
    <w:abstractNumId w:val="17"/>
  </w:num>
  <w:num w:numId="36">
    <w:abstractNumId w:val="21"/>
  </w:num>
  <w:num w:numId="37">
    <w:abstractNumId w:val="13"/>
  </w:num>
  <w:num w:numId="38">
    <w:abstractNumId w:val="30"/>
  </w:num>
  <w:num w:numId="39">
    <w:abstractNumId w:val="15"/>
  </w:num>
  <w:num w:numId="40">
    <w:abstractNumId w:val="36"/>
  </w:num>
  <w:num w:numId="41">
    <w:abstractNumId w:val="0"/>
  </w:num>
  <w:num w:numId="42">
    <w:abstractNumId w:val="18"/>
  </w:num>
  <w:num w:numId="43">
    <w:abstractNumId w:val="25"/>
  </w:num>
  <w:num w:numId="44">
    <w:abstractNumId w:val="2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BFB"/>
    <w:rsid w:val="00001602"/>
    <w:rsid w:val="00004E98"/>
    <w:rsid w:val="00005415"/>
    <w:rsid w:val="00005BB8"/>
    <w:rsid w:val="00010130"/>
    <w:rsid w:val="00013203"/>
    <w:rsid w:val="0001493E"/>
    <w:rsid w:val="00015032"/>
    <w:rsid w:val="00015168"/>
    <w:rsid w:val="0001616B"/>
    <w:rsid w:val="000165BB"/>
    <w:rsid w:val="000168D1"/>
    <w:rsid w:val="00017CFA"/>
    <w:rsid w:val="00020E3E"/>
    <w:rsid w:val="00022CFF"/>
    <w:rsid w:val="0002319A"/>
    <w:rsid w:val="000272F5"/>
    <w:rsid w:val="00035ED7"/>
    <w:rsid w:val="000379FE"/>
    <w:rsid w:val="0004032E"/>
    <w:rsid w:val="000412D4"/>
    <w:rsid w:val="00045EE0"/>
    <w:rsid w:val="00045EF3"/>
    <w:rsid w:val="00046017"/>
    <w:rsid w:val="00053C19"/>
    <w:rsid w:val="00054583"/>
    <w:rsid w:val="00056272"/>
    <w:rsid w:val="0006354D"/>
    <w:rsid w:val="00063CB6"/>
    <w:rsid w:val="00065E54"/>
    <w:rsid w:val="00066069"/>
    <w:rsid w:val="00070731"/>
    <w:rsid w:val="00072307"/>
    <w:rsid w:val="00076379"/>
    <w:rsid w:val="00076A88"/>
    <w:rsid w:val="00077E64"/>
    <w:rsid w:val="00082AD4"/>
    <w:rsid w:val="00082DC1"/>
    <w:rsid w:val="00083D5D"/>
    <w:rsid w:val="00085DDE"/>
    <w:rsid w:val="000871E1"/>
    <w:rsid w:val="000921B7"/>
    <w:rsid w:val="00094941"/>
    <w:rsid w:val="00097135"/>
    <w:rsid w:val="00097627"/>
    <w:rsid w:val="000A0F13"/>
    <w:rsid w:val="000A30D3"/>
    <w:rsid w:val="000A34C4"/>
    <w:rsid w:val="000A3F6A"/>
    <w:rsid w:val="000A5143"/>
    <w:rsid w:val="000A66B8"/>
    <w:rsid w:val="000B0AED"/>
    <w:rsid w:val="000B2BD6"/>
    <w:rsid w:val="000B5970"/>
    <w:rsid w:val="000B76A6"/>
    <w:rsid w:val="000C14D9"/>
    <w:rsid w:val="000C7595"/>
    <w:rsid w:val="000D08C3"/>
    <w:rsid w:val="000D1016"/>
    <w:rsid w:val="000D54D1"/>
    <w:rsid w:val="000D6225"/>
    <w:rsid w:val="000E16E2"/>
    <w:rsid w:val="000E3843"/>
    <w:rsid w:val="000E4EE1"/>
    <w:rsid w:val="000E536F"/>
    <w:rsid w:val="000F0BE5"/>
    <w:rsid w:val="000F1068"/>
    <w:rsid w:val="000F132E"/>
    <w:rsid w:val="000F1B59"/>
    <w:rsid w:val="000F36AB"/>
    <w:rsid w:val="000F741F"/>
    <w:rsid w:val="00103058"/>
    <w:rsid w:val="00107090"/>
    <w:rsid w:val="00110171"/>
    <w:rsid w:val="00116104"/>
    <w:rsid w:val="00122AE1"/>
    <w:rsid w:val="00125B18"/>
    <w:rsid w:val="001261C9"/>
    <w:rsid w:val="00130572"/>
    <w:rsid w:val="00130CC5"/>
    <w:rsid w:val="0013258A"/>
    <w:rsid w:val="00132769"/>
    <w:rsid w:val="00132AC2"/>
    <w:rsid w:val="00133662"/>
    <w:rsid w:val="001345FA"/>
    <w:rsid w:val="001356C8"/>
    <w:rsid w:val="00140F24"/>
    <w:rsid w:val="00144228"/>
    <w:rsid w:val="0014473B"/>
    <w:rsid w:val="00146F49"/>
    <w:rsid w:val="00147A7D"/>
    <w:rsid w:val="001508EA"/>
    <w:rsid w:val="00150A2D"/>
    <w:rsid w:val="0015269E"/>
    <w:rsid w:val="00153862"/>
    <w:rsid w:val="00153FD6"/>
    <w:rsid w:val="00154094"/>
    <w:rsid w:val="0015687E"/>
    <w:rsid w:val="0016120A"/>
    <w:rsid w:val="00162C6E"/>
    <w:rsid w:val="00164719"/>
    <w:rsid w:val="00165286"/>
    <w:rsid w:val="00173A3B"/>
    <w:rsid w:val="00175891"/>
    <w:rsid w:val="0017698D"/>
    <w:rsid w:val="001847C4"/>
    <w:rsid w:val="00185B58"/>
    <w:rsid w:val="00186609"/>
    <w:rsid w:val="00191325"/>
    <w:rsid w:val="00191BFE"/>
    <w:rsid w:val="00193029"/>
    <w:rsid w:val="0019403D"/>
    <w:rsid w:val="00196308"/>
    <w:rsid w:val="001A0F86"/>
    <w:rsid w:val="001A1651"/>
    <w:rsid w:val="001A4283"/>
    <w:rsid w:val="001A6360"/>
    <w:rsid w:val="001A7AE5"/>
    <w:rsid w:val="001B1734"/>
    <w:rsid w:val="001B1B81"/>
    <w:rsid w:val="001B5C40"/>
    <w:rsid w:val="001B6084"/>
    <w:rsid w:val="001B7B68"/>
    <w:rsid w:val="001C0F14"/>
    <w:rsid w:val="001D15C7"/>
    <w:rsid w:val="001D218C"/>
    <w:rsid w:val="001D2C5F"/>
    <w:rsid w:val="001D4112"/>
    <w:rsid w:val="001D6838"/>
    <w:rsid w:val="001D6EE0"/>
    <w:rsid w:val="001E0DE3"/>
    <w:rsid w:val="001E0F0F"/>
    <w:rsid w:val="001E1074"/>
    <w:rsid w:val="001E4B97"/>
    <w:rsid w:val="001E7262"/>
    <w:rsid w:val="001E778F"/>
    <w:rsid w:val="001F1CBB"/>
    <w:rsid w:val="001F1F07"/>
    <w:rsid w:val="001F2196"/>
    <w:rsid w:val="001F3A38"/>
    <w:rsid w:val="001F3D90"/>
    <w:rsid w:val="001F6005"/>
    <w:rsid w:val="00200622"/>
    <w:rsid w:val="00200DCD"/>
    <w:rsid w:val="00203592"/>
    <w:rsid w:val="00203714"/>
    <w:rsid w:val="002054E7"/>
    <w:rsid w:val="002124FF"/>
    <w:rsid w:val="00214DCD"/>
    <w:rsid w:val="00215CC1"/>
    <w:rsid w:val="00220677"/>
    <w:rsid w:val="00222CF3"/>
    <w:rsid w:val="002238A2"/>
    <w:rsid w:val="00225D13"/>
    <w:rsid w:val="00227E42"/>
    <w:rsid w:val="00230CC8"/>
    <w:rsid w:val="0023157A"/>
    <w:rsid w:val="00234759"/>
    <w:rsid w:val="002369E8"/>
    <w:rsid w:val="00237C84"/>
    <w:rsid w:val="002414F2"/>
    <w:rsid w:val="0024243D"/>
    <w:rsid w:val="00242BF2"/>
    <w:rsid w:val="00243B68"/>
    <w:rsid w:val="0025083E"/>
    <w:rsid w:val="00251646"/>
    <w:rsid w:val="002525D3"/>
    <w:rsid w:val="00253342"/>
    <w:rsid w:val="00253517"/>
    <w:rsid w:val="002560AB"/>
    <w:rsid w:val="00256B41"/>
    <w:rsid w:val="002574A9"/>
    <w:rsid w:val="00260173"/>
    <w:rsid w:val="0026085F"/>
    <w:rsid w:val="002610E2"/>
    <w:rsid w:val="002614A2"/>
    <w:rsid w:val="002617F2"/>
    <w:rsid w:val="0026401D"/>
    <w:rsid w:val="00265857"/>
    <w:rsid w:val="0026778D"/>
    <w:rsid w:val="00267D42"/>
    <w:rsid w:val="0027178C"/>
    <w:rsid w:val="00272092"/>
    <w:rsid w:val="002721D1"/>
    <w:rsid w:val="00275804"/>
    <w:rsid w:val="00276A1E"/>
    <w:rsid w:val="00276C71"/>
    <w:rsid w:val="002807B2"/>
    <w:rsid w:val="002816F4"/>
    <w:rsid w:val="0028378C"/>
    <w:rsid w:val="002856C7"/>
    <w:rsid w:val="00285A8A"/>
    <w:rsid w:val="002873F9"/>
    <w:rsid w:val="0029299A"/>
    <w:rsid w:val="00292E7E"/>
    <w:rsid w:val="00294DDE"/>
    <w:rsid w:val="002A75F7"/>
    <w:rsid w:val="002B213C"/>
    <w:rsid w:val="002B2896"/>
    <w:rsid w:val="002B466A"/>
    <w:rsid w:val="002B48E9"/>
    <w:rsid w:val="002B6406"/>
    <w:rsid w:val="002B6A38"/>
    <w:rsid w:val="002B6B0E"/>
    <w:rsid w:val="002B734A"/>
    <w:rsid w:val="002C207A"/>
    <w:rsid w:val="002C4B17"/>
    <w:rsid w:val="002C576F"/>
    <w:rsid w:val="002C70CE"/>
    <w:rsid w:val="002C70CF"/>
    <w:rsid w:val="002C765C"/>
    <w:rsid w:val="002C7A03"/>
    <w:rsid w:val="002D13B0"/>
    <w:rsid w:val="002D53B7"/>
    <w:rsid w:val="002D5F6C"/>
    <w:rsid w:val="002D615E"/>
    <w:rsid w:val="002D65D9"/>
    <w:rsid w:val="002D6CE2"/>
    <w:rsid w:val="002D73AC"/>
    <w:rsid w:val="002E21D0"/>
    <w:rsid w:val="002E2C85"/>
    <w:rsid w:val="002E4A1D"/>
    <w:rsid w:val="002E4F26"/>
    <w:rsid w:val="002E79D3"/>
    <w:rsid w:val="002F0E6E"/>
    <w:rsid w:val="002F11A2"/>
    <w:rsid w:val="002F1722"/>
    <w:rsid w:val="002F1EFB"/>
    <w:rsid w:val="002F7A77"/>
    <w:rsid w:val="002F7C0A"/>
    <w:rsid w:val="00300428"/>
    <w:rsid w:val="00302439"/>
    <w:rsid w:val="00304C42"/>
    <w:rsid w:val="00310C90"/>
    <w:rsid w:val="00311CE7"/>
    <w:rsid w:val="00312169"/>
    <w:rsid w:val="00313F6C"/>
    <w:rsid w:val="00316035"/>
    <w:rsid w:val="003211B1"/>
    <w:rsid w:val="00321623"/>
    <w:rsid w:val="00321B31"/>
    <w:rsid w:val="003222CC"/>
    <w:rsid w:val="00323405"/>
    <w:rsid w:val="00330260"/>
    <w:rsid w:val="00332654"/>
    <w:rsid w:val="00333FEF"/>
    <w:rsid w:val="00334415"/>
    <w:rsid w:val="00334753"/>
    <w:rsid w:val="00336C31"/>
    <w:rsid w:val="00336E63"/>
    <w:rsid w:val="00336E7C"/>
    <w:rsid w:val="00340B29"/>
    <w:rsid w:val="003424CB"/>
    <w:rsid w:val="00343411"/>
    <w:rsid w:val="00346C18"/>
    <w:rsid w:val="00347354"/>
    <w:rsid w:val="003505F4"/>
    <w:rsid w:val="00352768"/>
    <w:rsid w:val="00353C60"/>
    <w:rsid w:val="00354C44"/>
    <w:rsid w:val="00360AA2"/>
    <w:rsid w:val="00360F26"/>
    <w:rsid w:val="0036146C"/>
    <w:rsid w:val="00363EB4"/>
    <w:rsid w:val="003651C0"/>
    <w:rsid w:val="00365985"/>
    <w:rsid w:val="003725DE"/>
    <w:rsid w:val="003729A5"/>
    <w:rsid w:val="00373309"/>
    <w:rsid w:val="00375451"/>
    <w:rsid w:val="00380027"/>
    <w:rsid w:val="003807A0"/>
    <w:rsid w:val="0038157F"/>
    <w:rsid w:val="00381B92"/>
    <w:rsid w:val="0038395D"/>
    <w:rsid w:val="003856B9"/>
    <w:rsid w:val="003876B9"/>
    <w:rsid w:val="00392016"/>
    <w:rsid w:val="00394960"/>
    <w:rsid w:val="00394BDC"/>
    <w:rsid w:val="0039593F"/>
    <w:rsid w:val="00396B65"/>
    <w:rsid w:val="00396DEA"/>
    <w:rsid w:val="003970D4"/>
    <w:rsid w:val="003976DF"/>
    <w:rsid w:val="003A1568"/>
    <w:rsid w:val="003A46D0"/>
    <w:rsid w:val="003A4BF1"/>
    <w:rsid w:val="003B283C"/>
    <w:rsid w:val="003B2C09"/>
    <w:rsid w:val="003B3C26"/>
    <w:rsid w:val="003B5334"/>
    <w:rsid w:val="003B6D0F"/>
    <w:rsid w:val="003B7A93"/>
    <w:rsid w:val="003B7C20"/>
    <w:rsid w:val="003C048C"/>
    <w:rsid w:val="003C08AD"/>
    <w:rsid w:val="003C0F2A"/>
    <w:rsid w:val="003C10A4"/>
    <w:rsid w:val="003C25C4"/>
    <w:rsid w:val="003C4BD1"/>
    <w:rsid w:val="003C7633"/>
    <w:rsid w:val="003D303C"/>
    <w:rsid w:val="003D42C7"/>
    <w:rsid w:val="003D50CB"/>
    <w:rsid w:val="003D55B7"/>
    <w:rsid w:val="003D7806"/>
    <w:rsid w:val="003E33DB"/>
    <w:rsid w:val="003F3660"/>
    <w:rsid w:val="003F431E"/>
    <w:rsid w:val="003F46BB"/>
    <w:rsid w:val="00401B04"/>
    <w:rsid w:val="00403058"/>
    <w:rsid w:val="0040591F"/>
    <w:rsid w:val="00407856"/>
    <w:rsid w:val="0041093A"/>
    <w:rsid w:val="0041514E"/>
    <w:rsid w:val="00416907"/>
    <w:rsid w:val="0041719B"/>
    <w:rsid w:val="004211E2"/>
    <w:rsid w:val="00421EAC"/>
    <w:rsid w:val="004230FF"/>
    <w:rsid w:val="00423B6A"/>
    <w:rsid w:val="00423E61"/>
    <w:rsid w:val="00425332"/>
    <w:rsid w:val="00425DFC"/>
    <w:rsid w:val="004264EB"/>
    <w:rsid w:val="00426D2E"/>
    <w:rsid w:val="00430446"/>
    <w:rsid w:val="004323C6"/>
    <w:rsid w:val="004324C2"/>
    <w:rsid w:val="00432F68"/>
    <w:rsid w:val="0043433E"/>
    <w:rsid w:val="00436BD0"/>
    <w:rsid w:val="00437A6C"/>
    <w:rsid w:val="00444561"/>
    <w:rsid w:val="004445F0"/>
    <w:rsid w:val="00444954"/>
    <w:rsid w:val="00447B45"/>
    <w:rsid w:val="0045079C"/>
    <w:rsid w:val="00450E8D"/>
    <w:rsid w:val="00453834"/>
    <w:rsid w:val="00454762"/>
    <w:rsid w:val="00454F79"/>
    <w:rsid w:val="004624EC"/>
    <w:rsid w:val="00464A64"/>
    <w:rsid w:val="00464D22"/>
    <w:rsid w:val="00465CA1"/>
    <w:rsid w:val="00465EE4"/>
    <w:rsid w:val="00467607"/>
    <w:rsid w:val="004676F8"/>
    <w:rsid w:val="00467BDE"/>
    <w:rsid w:val="004727F1"/>
    <w:rsid w:val="00476458"/>
    <w:rsid w:val="00477DF3"/>
    <w:rsid w:val="004803D3"/>
    <w:rsid w:val="00480681"/>
    <w:rsid w:val="004876F4"/>
    <w:rsid w:val="00490176"/>
    <w:rsid w:val="00490822"/>
    <w:rsid w:val="004930D4"/>
    <w:rsid w:val="00497C92"/>
    <w:rsid w:val="004A0E75"/>
    <w:rsid w:val="004A2684"/>
    <w:rsid w:val="004A2800"/>
    <w:rsid w:val="004A2B2B"/>
    <w:rsid w:val="004A2C67"/>
    <w:rsid w:val="004A395D"/>
    <w:rsid w:val="004A50D2"/>
    <w:rsid w:val="004A5CE9"/>
    <w:rsid w:val="004A5D15"/>
    <w:rsid w:val="004A6FEE"/>
    <w:rsid w:val="004B0D5D"/>
    <w:rsid w:val="004B206E"/>
    <w:rsid w:val="004B36B7"/>
    <w:rsid w:val="004B4D5D"/>
    <w:rsid w:val="004C43CB"/>
    <w:rsid w:val="004C4421"/>
    <w:rsid w:val="004D0E51"/>
    <w:rsid w:val="004D103C"/>
    <w:rsid w:val="004D28A7"/>
    <w:rsid w:val="004D3AAB"/>
    <w:rsid w:val="004D3C71"/>
    <w:rsid w:val="004E0609"/>
    <w:rsid w:val="004E0BE4"/>
    <w:rsid w:val="004E7C24"/>
    <w:rsid w:val="004F69C1"/>
    <w:rsid w:val="004F6B09"/>
    <w:rsid w:val="004F6E3C"/>
    <w:rsid w:val="004F708A"/>
    <w:rsid w:val="004F714F"/>
    <w:rsid w:val="004F7932"/>
    <w:rsid w:val="00501445"/>
    <w:rsid w:val="00502B01"/>
    <w:rsid w:val="00503603"/>
    <w:rsid w:val="0050495B"/>
    <w:rsid w:val="00506A8C"/>
    <w:rsid w:val="00506C14"/>
    <w:rsid w:val="00506F15"/>
    <w:rsid w:val="00507AF4"/>
    <w:rsid w:val="00510620"/>
    <w:rsid w:val="00511D6D"/>
    <w:rsid w:val="00513D1A"/>
    <w:rsid w:val="00513E08"/>
    <w:rsid w:val="005152AA"/>
    <w:rsid w:val="0051718B"/>
    <w:rsid w:val="00524B8D"/>
    <w:rsid w:val="0053115E"/>
    <w:rsid w:val="00533A4E"/>
    <w:rsid w:val="00535A03"/>
    <w:rsid w:val="00535E67"/>
    <w:rsid w:val="005410CA"/>
    <w:rsid w:val="005418B3"/>
    <w:rsid w:val="0054233C"/>
    <w:rsid w:val="005436AB"/>
    <w:rsid w:val="00550BDE"/>
    <w:rsid w:val="0055184B"/>
    <w:rsid w:val="00553CAE"/>
    <w:rsid w:val="00554BE4"/>
    <w:rsid w:val="0055581E"/>
    <w:rsid w:val="00557BBD"/>
    <w:rsid w:val="00560006"/>
    <w:rsid w:val="005617BA"/>
    <w:rsid w:val="00565EC5"/>
    <w:rsid w:val="005672F9"/>
    <w:rsid w:val="005707BB"/>
    <w:rsid w:val="0057087B"/>
    <w:rsid w:val="00571D36"/>
    <w:rsid w:val="00572EEB"/>
    <w:rsid w:val="00576F15"/>
    <w:rsid w:val="0058064B"/>
    <w:rsid w:val="00580FE1"/>
    <w:rsid w:val="00581FD5"/>
    <w:rsid w:val="005835DA"/>
    <w:rsid w:val="00583790"/>
    <w:rsid w:val="005861CB"/>
    <w:rsid w:val="00593A2B"/>
    <w:rsid w:val="005944DE"/>
    <w:rsid w:val="00594A02"/>
    <w:rsid w:val="00594F13"/>
    <w:rsid w:val="00597A91"/>
    <w:rsid w:val="005A08B1"/>
    <w:rsid w:val="005A10B5"/>
    <w:rsid w:val="005A1C2A"/>
    <w:rsid w:val="005A2609"/>
    <w:rsid w:val="005A480C"/>
    <w:rsid w:val="005A5990"/>
    <w:rsid w:val="005A5A74"/>
    <w:rsid w:val="005A658A"/>
    <w:rsid w:val="005A671E"/>
    <w:rsid w:val="005B01ED"/>
    <w:rsid w:val="005B3875"/>
    <w:rsid w:val="005B52EB"/>
    <w:rsid w:val="005B56D2"/>
    <w:rsid w:val="005B578B"/>
    <w:rsid w:val="005C031F"/>
    <w:rsid w:val="005C07A8"/>
    <w:rsid w:val="005C24CC"/>
    <w:rsid w:val="005C3F69"/>
    <w:rsid w:val="005C4278"/>
    <w:rsid w:val="005C6273"/>
    <w:rsid w:val="005C73C0"/>
    <w:rsid w:val="005D0406"/>
    <w:rsid w:val="005D18C7"/>
    <w:rsid w:val="005D28F0"/>
    <w:rsid w:val="005D465D"/>
    <w:rsid w:val="005D4B15"/>
    <w:rsid w:val="005D6C9F"/>
    <w:rsid w:val="005E2CB9"/>
    <w:rsid w:val="005E5085"/>
    <w:rsid w:val="005E5230"/>
    <w:rsid w:val="005E5A6D"/>
    <w:rsid w:val="005E6DAD"/>
    <w:rsid w:val="005E75D7"/>
    <w:rsid w:val="005E7962"/>
    <w:rsid w:val="005F248B"/>
    <w:rsid w:val="005F25B0"/>
    <w:rsid w:val="005F3300"/>
    <w:rsid w:val="005F38DE"/>
    <w:rsid w:val="005F6B35"/>
    <w:rsid w:val="005F6D0B"/>
    <w:rsid w:val="005F7487"/>
    <w:rsid w:val="00600253"/>
    <w:rsid w:val="00601746"/>
    <w:rsid w:val="00601F86"/>
    <w:rsid w:val="00602788"/>
    <w:rsid w:val="00603683"/>
    <w:rsid w:val="006036F4"/>
    <w:rsid w:val="006052CF"/>
    <w:rsid w:val="00607369"/>
    <w:rsid w:val="006104DC"/>
    <w:rsid w:val="006115F3"/>
    <w:rsid w:val="006138B1"/>
    <w:rsid w:val="00620285"/>
    <w:rsid w:val="006222C9"/>
    <w:rsid w:val="006222DA"/>
    <w:rsid w:val="0062452B"/>
    <w:rsid w:val="00624785"/>
    <w:rsid w:val="00627335"/>
    <w:rsid w:val="00630444"/>
    <w:rsid w:val="0063059C"/>
    <w:rsid w:val="0063375C"/>
    <w:rsid w:val="00634761"/>
    <w:rsid w:val="00635D21"/>
    <w:rsid w:val="0063730B"/>
    <w:rsid w:val="00637D8F"/>
    <w:rsid w:val="00641F0F"/>
    <w:rsid w:val="00642165"/>
    <w:rsid w:val="006451F3"/>
    <w:rsid w:val="006466D8"/>
    <w:rsid w:val="006502D1"/>
    <w:rsid w:val="00650EC6"/>
    <w:rsid w:val="0065187D"/>
    <w:rsid w:val="00653576"/>
    <w:rsid w:val="00654425"/>
    <w:rsid w:val="00660922"/>
    <w:rsid w:val="00662079"/>
    <w:rsid w:val="00662FF6"/>
    <w:rsid w:val="0066355E"/>
    <w:rsid w:val="006646E2"/>
    <w:rsid w:val="00667051"/>
    <w:rsid w:val="006674E1"/>
    <w:rsid w:val="006676A6"/>
    <w:rsid w:val="00667EB6"/>
    <w:rsid w:val="0067158E"/>
    <w:rsid w:val="006728D6"/>
    <w:rsid w:val="0067371E"/>
    <w:rsid w:val="006756C9"/>
    <w:rsid w:val="006768AE"/>
    <w:rsid w:val="006777CC"/>
    <w:rsid w:val="00677F34"/>
    <w:rsid w:val="00682DF3"/>
    <w:rsid w:val="00683A29"/>
    <w:rsid w:val="00691490"/>
    <w:rsid w:val="00691D70"/>
    <w:rsid w:val="00692B26"/>
    <w:rsid w:val="00693529"/>
    <w:rsid w:val="0069359C"/>
    <w:rsid w:val="00694A4B"/>
    <w:rsid w:val="00694FD3"/>
    <w:rsid w:val="00695B4D"/>
    <w:rsid w:val="00695E98"/>
    <w:rsid w:val="006A04F9"/>
    <w:rsid w:val="006A1D95"/>
    <w:rsid w:val="006A2D6C"/>
    <w:rsid w:val="006A5F26"/>
    <w:rsid w:val="006B01FB"/>
    <w:rsid w:val="006B13B2"/>
    <w:rsid w:val="006B2719"/>
    <w:rsid w:val="006B2F06"/>
    <w:rsid w:val="006B57D1"/>
    <w:rsid w:val="006B5D25"/>
    <w:rsid w:val="006B6B82"/>
    <w:rsid w:val="006C21C7"/>
    <w:rsid w:val="006C2C35"/>
    <w:rsid w:val="006C354C"/>
    <w:rsid w:val="006C6D73"/>
    <w:rsid w:val="006D420D"/>
    <w:rsid w:val="006D6329"/>
    <w:rsid w:val="006D7B94"/>
    <w:rsid w:val="006E0EB9"/>
    <w:rsid w:val="006E1385"/>
    <w:rsid w:val="006E4D7D"/>
    <w:rsid w:val="006E6D75"/>
    <w:rsid w:val="006F57A1"/>
    <w:rsid w:val="006F5C6D"/>
    <w:rsid w:val="006F70AA"/>
    <w:rsid w:val="00700486"/>
    <w:rsid w:val="00701890"/>
    <w:rsid w:val="007027E9"/>
    <w:rsid w:val="007057D5"/>
    <w:rsid w:val="0070705A"/>
    <w:rsid w:val="00710C0D"/>
    <w:rsid w:val="00713D61"/>
    <w:rsid w:val="007175E3"/>
    <w:rsid w:val="00720FB3"/>
    <w:rsid w:val="00723254"/>
    <w:rsid w:val="00723C73"/>
    <w:rsid w:val="00726299"/>
    <w:rsid w:val="00726447"/>
    <w:rsid w:val="00727206"/>
    <w:rsid w:val="00730421"/>
    <w:rsid w:val="0073613A"/>
    <w:rsid w:val="0073624C"/>
    <w:rsid w:val="00736775"/>
    <w:rsid w:val="00737734"/>
    <w:rsid w:val="00740450"/>
    <w:rsid w:val="007426F0"/>
    <w:rsid w:val="0074596F"/>
    <w:rsid w:val="00750548"/>
    <w:rsid w:val="007513B4"/>
    <w:rsid w:val="0075344B"/>
    <w:rsid w:val="007545EA"/>
    <w:rsid w:val="007553BD"/>
    <w:rsid w:val="007554FA"/>
    <w:rsid w:val="007561AB"/>
    <w:rsid w:val="007630D0"/>
    <w:rsid w:val="007661B9"/>
    <w:rsid w:val="0076659D"/>
    <w:rsid w:val="0077001D"/>
    <w:rsid w:val="00771098"/>
    <w:rsid w:val="00774A73"/>
    <w:rsid w:val="00774BAB"/>
    <w:rsid w:val="00775D87"/>
    <w:rsid w:val="00776C27"/>
    <w:rsid w:val="00781CA4"/>
    <w:rsid w:val="00781DC6"/>
    <w:rsid w:val="00782749"/>
    <w:rsid w:val="007828EB"/>
    <w:rsid w:val="00782BDA"/>
    <w:rsid w:val="00782FB5"/>
    <w:rsid w:val="00783E53"/>
    <w:rsid w:val="00786506"/>
    <w:rsid w:val="00790D2A"/>
    <w:rsid w:val="007931F8"/>
    <w:rsid w:val="007960F3"/>
    <w:rsid w:val="00796210"/>
    <w:rsid w:val="007A2575"/>
    <w:rsid w:val="007A2887"/>
    <w:rsid w:val="007A333E"/>
    <w:rsid w:val="007A3A53"/>
    <w:rsid w:val="007A69CA"/>
    <w:rsid w:val="007B093B"/>
    <w:rsid w:val="007B13FC"/>
    <w:rsid w:val="007B1771"/>
    <w:rsid w:val="007B34F3"/>
    <w:rsid w:val="007B536A"/>
    <w:rsid w:val="007B5EC7"/>
    <w:rsid w:val="007C0262"/>
    <w:rsid w:val="007C13C2"/>
    <w:rsid w:val="007C1C72"/>
    <w:rsid w:val="007C54C4"/>
    <w:rsid w:val="007C6C25"/>
    <w:rsid w:val="007D04D1"/>
    <w:rsid w:val="007D0565"/>
    <w:rsid w:val="007D1DD6"/>
    <w:rsid w:val="007D30BB"/>
    <w:rsid w:val="007D3768"/>
    <w:rsid w:val="007D5A1A"/>
    <w:rsid w:val="007D6DE3"/>
    <w:rsid w:val="007D77C6"/>
    <w:rsid w:val="007D7D4A"/>
    <w:rsid w:val="007E044D"/>
    <w:rsid w:val="007E1B30"/>
    <w:rsid w:val="007E5021"/>
    <w:rsid w:val="007E57D2"/>
    <w:rsid w:val="007E59EF"/>
    <w:rsid w:val="007E6CE0"/>
    <w:rsid w:val="007E7E48"/>
    <w:rsid w:val="007F0015"/>
    <w:rsid w:val="007F08DC"/>
    <w:rsid w:val="007F4D0B"/>
    <w:rsid w:val="007F6715"/>
    <w:rsid w:val="007F7E08"/>
    <w:rsid w:val="0080216E"/>
    <w:rsid w:val="0080449A"/>
    <w:rsid w:val="0080454D"/>
    <w:rsid w:val="008104F0"/>
    <w:rsid w:val="00815919"/>
    <w:rsid w:val="00815A16"/>
    <w:rsid w:val="00815B46"/>
    <w:rsid w:val="0081651B"/>
    <w:rsid w:val="00822FC2"/>
    <w:rsid w:val="00823897"/>
    <w:rsid w:val="00824BD8"/>
    <w:rsid w:val="00824DA6"/>
    <w:rsid w:val="00825074"/>
    <w:rsid w:val="0082579F"/>
    <w:rsid w:val="0082669C"/>
    <w:rsid w:val="00827B98"/>
    <w:rsid w:val="008301AF"/>
    <w:rsid w:val="0083117E"/>
    <w:rsid w:val="008312DB"/>
    <w:rsid w:val="00831F50"/>
    <w:rsid w:val="0083266D"/>
    <w:rsid w:val="00834C50"/>
    <w:rsid w:val="0083583A"/>
    <w:rsid w:val="00837DDE"/>
    <w:rsid w:val="008401EE"/>
    <w:rsid w:val="00842052"/>
    <w:rsid w:val="008427EA"/>
    <w:rsid w:val="00842C93"/>
    <w:rsid w:val="0084597F"/>
    <w:rsid w:val="00846EE2"/>
    <w:rsid w:val="008503E9"/>
    <w:rsid w:val="00850AD6"/>
    <w:rsid w:val="00853401"/>
    <w:rsid w:val="00854F6E"/>
    <w:rsid w:val="0085640F"/>
    <w:rsid w:val="00856EC1"/>
    <w:rsid w:val="008572C7"/>
    <w:rsid w:val="00857C2E"/>
    <w:rsid w:val="008615D1"/>
    <w:rsid w:val="00861C36"/>
    <w:rsid w:val="00864206"/>
    <w:rsid w:val="008702A2"/>
    <w:rsid w:val="00870C43"/>
    <w:rsid w:val="00873007"/>
    <w:rsid w:val="0087410C"/>
    <w:rsid w:val="0087425E"/>
    <w:rsid w:val="00874A21"/>
    <w:rsid w:val="00876752"/>
    <w:rsid w:val="00881836"/>
    <w:rsid w:val="008821E3"/>
    <w:rsid w:val="008828FF"/>
    <w:rsid w:val="0088626F"/>
    <w:rsid w:val="008900FB"/>
    <w:rsid w:val="00891714"/>
    <w:rsid w:val="00891D3F"/>
    <w:rsid w:val="00892CC9"/>
    <w:rsid w:val="0089636C"/>
    <w:rsid w:val="0089689B"/>
    <w:rsid w:val="008A0317"/>
    <w:rsid w:val="008A0F31"/>
    <w:rsid w:val="008A1420"/>
    <w:rsid w:val="008A59B3"/>
    <w:rsid w:val="008B1595"/>
    <w:rsid w:val="008B37BF"/>
    <w:rsid w:val="008B5E19"/>
    <w:rsid w:val="008B6C32"/>
    <w:rsid w:val="008B6EBB"/>
    <w:rsid w:val="008B71A1"/>
    <w:rsid w:val="008B7C16"/>
    <w:rsid w:val="008C1245"/>
    <w:rsid w:val="008C24CA"/>
    <w:rsid w:val="008C31B5"/>
    <w:rsid w:val="008C790A"/>
    <w:rsid w:val="008D0984"/>
    <w:rsid w:val="008D3872"/>
    <w:rsid w:val="008D65C8"/>
    <w:rsid w:val="008E5527"/>
    <w:rsid w:val="008E5934"/>
    <w:rsid w:val="008E5CB5"/>
    <w:rsid w:val="008E687E"/>
    <w:rsid w:val="008E6969"/>
    <w:rsid w:val="008E7A93"/>
    <w:rsid w:val="008F237C"/>
    <w:rsid w:val="008F4189"/>
    <w:rsid w:val="00902897"/>
    <w:rsid w:val="0090583C"/>
    <w:rsid w:val="00905EE0"/>
    <w:rsid w:val="0090769C"/>
    <w:rsid w:val="0091042E"/>
    <w:rsid w:val="00913EB7"/>
    <w:rsid w:val="00914557"/>
    <w:rsid w:val="0091727F"/>
    <w:rsid w:val="009176F6"/>
    <w:rsid w:val="00917C8C"/>
    <w:rsid w:val="00920DEC"/>
    <w:rsid w:val="009210BF"/>
    <w:rsid w:val="0092115F"/>
    <w:rsid w:val="00924831"/>
    <w:rsid w:val="009326A4"/>
    <w:rsid w:val="00933625"/>
    <w:rsid w:val="00933BB2"/>
    <w:rsid w:val="00933C09"/>
    <w:rsid w:val="00934D3C"/>
    <w:rsid w:val="00935BAA"/>
    <w:rsid w:val="00936959"/>
    <w:rsid w:val="00937970"/>
    <w:rsid w:val="00940316"/>
    <w:rsid w:val="009403D3"/>
    <w:rsid w:val="009406FA"/>
    <w:rsid w:val="0094211C"/>
    <w:rsid w:val="00942408"/>
    <w:rsid w:val="009438E5"/>
    <w:rsid w:val="009454E3"/>
    <w:rsid w:val="00945811"/>
    <w:rsid w:val="00945B57"/>
    <w:rsid w:val="009476B5"/>
    <w:rsid w:val="0095035A"/>
    <w:rsid w:val="0095124E"/>
    <w:rsid w:val="009520C0"/>
    <w:rsid w:val="0095215F"/>
    <w:rsid w:val="009537FB"/>
    <w:rsid w:val="00955118"/>
    <w:rsid w:val="009559BF"/>
    <w:rsid w:val="00956041"/>
    <w:rsid w:val="009568AE"/>
    <w:rsid w:val="00956D7B"/>
    <w:rsid w:val="00960D3C"/>
    <w:rsid w:val="009612B2"/>
    <w:rsid w:val="00961722"/>
    <w:rsid w:val="009643C9"/>
    <w:rsid w:val="00964E08"/>
    <w:rsid w:val="009673E0"/>
    <w:rsid w:val="00970F11"/>
    <w:rsid w:val="00971304"/>
    <w:rsid w:val="0097270E"/>
    <w:rsid w:val="00972EBE"/>
    <w:rsid w:val="00973445"/>
    <w:rsid w:val="00973967"/>
    <w:rsid w:val="00973E12"/>
    <w:rsid w:val="00976249"/>
    <w:rsid w:val="00976FFB"/>
    <w:rsid w:val="009854D7"/>
    <w:rsid w:val="00985B16"/>
    <w:rsid w:val="00985E30"/>
    <w:rsid w:val="00991386"/>
    <w:rsid w:val="00991870"/>
    <w:rsid w:val="00991B44"/>
    <w:rsid w:val="009956BD"/>
    <w:rsid w:val="009A094E"/>
    <w:rsid w:val="009A0DC7"/>
    <w:rsid w:val="009A1073"/>
    <w:rsid w:val="009A1BB1"/>
    <w:rsid w:val="009A235B"/>
    <w:rsid w:val="009A3362"/>
    <w:rsid w:val="009A5B55"/>
    <w:rsid w:val="009A6D74"/>
    <w:rsid w:val="009B06C5"/>
    <w:rsid w:val="009B0A67"/>
    <w:rsid w:val="009B1598"/>
    <w:rsid w:val="009B1645"/>
    <w:rsid w:val="009B6755"/>
    <w:rsid w:val="009B798F"/>
    <w:rsid w:val="009C0356"/>
    <w:rsid w:val="009C059B"/>
    <w:rsid w:val="009C3894"/>
    <w:rsid w:val="009C6DCB"/>
    <w:rsid w:val="009C7526"/>
    <w:rsid w:val="009D0B99"/>
    <w:rsid w:val="009D4C42"/>
    <w:rsid w:val="009D5610"/>
    <w:rsid w:val="009D64F1"/>
    <w:rsid w:val="009D7BEE"/>
    <w:rsid w:val="009E1EAB"/>
    <w:rsid w:val="009E47E1"/>
    <w:rsid w:val="009E4ABA"/>
    <w:rsid w:val="009E69CE"/>
    <w:rsid w:val="009E6C82"/>
    <w:rsid w:val="009E792F"/>
    <w:rsid w:val="009F1372"/>
    <w:rsid w:val="009F1577"/>
    <w:rsid w:val="009F2D61"/>
    <w:rsid w:val="009F3431"/>
    <w:rsid w:val="009F3F83"/>
    <w:rsid w:val="009F5DB9"/>
    <w:rsid w:val="009F62B6"/>
    <w:rsid w:val="009F68CD"/>
    <w:rsid w:val="009F6FAF"/>
    <w:rsid w:val="00A0288C"/>
    <w:rsid w:val="00A03427"/>
    <w:rsid w:val="00A0372F"/>
    <w:rsid w:val="00A04288"/>
    <w:rsid w:val="00A05A28"/>
    <w:rsid w:val="00A061D2"/>
    <w:rsid w:val="00A06B11"/>
    <w:rsid w:val="00A07DBB"/>
    <w:rsid w:val="00A1109B"/>
    <w:rsid w:val="00A12F9F"/>
    <w:rsid w:val="00A2062E"/>
    <w:rsid w:val="00A2381A"/>
    <w:rsid w:val="00A241CF"/>
    <w:rsid w:val="00A2464E"/>
    <w:rsid w:val="00A247AF"/>
    <w:rsid w:val="00A24BFD"/>
    <w:rsid w:val="00A253BC"/>
    <w:rsid w:val="00A30E57"/>
    <w:rsid w:val="00A326F0"/>
    <w:rsid w:val="00A33202"/>
    <w:rsid w:val="00A33604"/>
    <w:rsid w:val="00A35CD0"/>
    <w:rsid w:val="00A3622B"/>
    <w:rsid w:val="00A362FE"/>
    <w:rsid w:val="00A36B3A"/>
    <w:rsid w:val="00A37635"/>
    <w:rsid w:val="00A40D20"/>
    <w:rsid w:val="00A41CD3"/>
    <w:rsid w:val="00A43B74"/>
    <w:rsid w:val="00A448B6"/>
    <w:rsid w:val="00A4740F"/>
    <w:rsid w:val="00A477BA"/>
    <w:rsid w:val="00A55636"/>
    <w:rsid w:val="00A571A6"/>
    <w:rsid w:val="00A6113D"/>
    <w:rsid w:val="00A613D7"/>
    <w:rsid w:val="00A6227F"/>
    <w:rsid w:val="00A653D8"/>
    <w:rsid w:val="00A669D5"/>
    <w:rsid w:val="00A6728B"/>
    <w:rsid w:val="00A7268C"/>
    <w:rsid w:val="00A73A1E"/>
    <w:rsid w:val="00A74FD3"/>
    <w:rsid w:val="00A76C47"/>
    <w:rsid w:val="00A76C70"/>
    <w:rsid w:val="00A77088"/>
    <w:rsid w:val="00A771AD"/>
    <w:rsid w:val="00A809AA"/>
    <w:rsid w:val="00A80D65"/>
    <w:rsid w:val="00A86056"/>
    <w:rsid w:val="00A87BC0"/>
    <w:rsid w:val="00A90B6F"/>
    <w:rsid w:val="00A92D12"/>
    <w:rsid w:val="00A962DA"/>
    <w:rsid w:val="00A97DED"/>
    <w:rsid w:val="00AA0B5C"/>
    <w:rsid w:val="00AA3F3A"/>
    <w:rsid w:val="00AA59BE"/>
    <w:rsid w:val="00AA77A6"/>
    <w:rsid w:val="00AB024F"/>
    <w:rsid w:val="00AB047F"/>
    <w:rsid w:val="00AB147D"/>
    <w:rsid w:val="00AB36D2"/>
    <w:rsid w:val="00AB49AF"/>
    <w:rsid w:val="00AC0612"/>
    <w:rsid w:val="00AC0CDF"/>
    <w:rsid w:val="00AC2994"/>
    <w:rsid w:val="00AC32BF"/>
    <w:rsid w:val="00AC3598"/>
    <w:rsid w:val="00AC4311"/>
    <w:rsid w:val="00AC4C02"/>
    <w:rsid w:val="00AC5751"/>
    <w:rsid w:val="00AC6143"/>
    <w:rsid w:val="00AC692A"/>
    <w:rsid w:val="00AC7A55"/>
    <w:rsid w:val="00AC7D06"/>
    <w:rsid w:val="00AD00D1"/>
    <w:rsid w:val="00AD1ACE"/>
    <w:rsid w:val="00AD483C"/>
    <w:rsid w:val="00AE160D"/>
    <w:rsid w:val="00AE34F2"/>
    <w:rsid w:val="00AE41E8"/>
    <w:rsid w:val="00AE5071"/>
    <w:rsid w:val="00AF09D7"/>
    <w:rsid w:val="00AF1D5F"/>
    <w:rsid w:val="00AF2089"/>
    <w:rsid w:val="00AF3610"/>
    <w:rsid w:val="00AF5E7C"/>
    <w:rsid w:val="00AF5F8A"/>
    <w:rsid w:val="00AF601A"/>
    <w:rsid w:val="00B04D6B"/>
    <w:rsid w:val="00B05961"/>
    <w:rsid w:val="00B063C1"/>
    <w:rsid w:val="00B0649F"/>
    <w:rsid w:val="00B066FB"/>
    <w:rsid w:val="00B134C4"/>
    <w:rsid w:val="00B1361A"/>
    <w:rsid w:val="00B147AC"/>
    <w:rsid w:val="00B15EC7"/>
    <w:rsid w:val="00B1719A"/>
    <w:rsid w:val="00B178C7"/>
    <w:rsid w:val="00B17C43"/>
    <w:rsid w:val="00B22CEE"/>
    <w:rsid w:val="00B25028"/>
    <w:rsid w:val="00B26661"/>
    <w:rsid w:val="00B33BB8"/>
    <w:rsid w:val="00B350CD"/>
    <w:rsid w:val="00B35C50"/>
    <w:rsid w:val="00B42493"/>
    <w:rsid w:val="00B43BFC"/>
    <w:rsid w:val="00B4573D"/>
    <w:rsid w:val="00B554C4"/>
    <w:rsid w:val="00B57041"/>
    <w:rsid w:val="00B641CB"/>
    <w:rsid w:val="00B66E3F"/>
    <w:rsid w:val="00B70121"/>
    <w:rsid w:val="00B71781"/>
    <w:rsid w:val="00B73574"/>
    <w:rsid w:val="00B73BFB"/>
    <w:rsid w:val="00B74512"/>
    <w:rsid w:val="00B74A96"/>
    <w:rsid w:val="00B762D6"/>
    <w:rsid w:val="00B7739F"/>
    <w:rsid w:val="00B8307C"/>
    <w:rsid w:val="00B866C3"/>
    <w:rsid w:val="00B86851"/>
    <w:rsid w:val="00B86F62"/>
    <w:rsid w:val="00B9077F"/>
    <w:rsid w:val="00B946A0"/>
    <w:rsid w:val="00B95A2B"/>
    <w:rsid w:val="00B969A9"/>
    <w:rsid w:val="00B96B32"/>
    <w:rsid w:val="00BA19E2"/>
    <w:rsid w:val="00BA19F4"/>
    <w:rsid w:val="00BA2548"/>
    <w:rsid w:val="00BA3CC0"/>
    <w:rsid w:val="00BA511F"/>
    <w:rsid w:val="00BA58A6"/>
    <w:rsid w:val="00BA70EE"/>
    <w:rsid w:val="00BB0107"/>
    <w:rsid w:val="00BB3BAB"/>
    <w:rsid w:val="00BB44AF"/>
    <w:rsid w:val="00BB524C"/>
    <w:rsid w:val="00BB52C8"/>
    <w:rsid w:val="00BB5681"/>
    <w:rsid w:val="00BB590B"/>
    <w:rsid w:val="00BC0C1B"/>
    <w:rsid w:val="00BC153B"/>
    <w:rsid w:val="00BC322A"/>
    <w:rsid w:val="00BD0C2B"/>
    <w:rsid w:val="00BD2BDF"/>
    <w:rsid w:val="00BD366C"/>
    <w:rsid w:val="00BD3D4A"/>
    <w:rsid w:val="00BD436B"/>
    <w:rsid w:val="00BD7101"/>
    <w:rsid w:val="00BD7E8D"/>
    <w:rsid w:val="00BE1FAA"/>
    <w:rsid w:val="00BE2599"/>
    <w:rsid w:val="00BE5F18"/>
    <w:rsid w:val="00BE6A6D"/>
    <w:rsid w:val="00BE7588"/>
    <w:rsid w:val="00BF1BE5"/>
    <w:rsid w:val="00BF2353"/>
    <w:rsid w:val="00BF42A0"/>
    <w:rsid w:val="00BF6F85"/>
    <w:rsid w:val="00BF7136"/>
    <w:rsid w:val="00C06EF3"/>
    <w:rsid w:val="00C107C2"/>
    <w:rsid w:val="00C11855"/>
    <w:rsid w:val="00C13EA8"/>
    <w:rsid w:val="00C14969"/>
    <w:rsid w:val="00C14B1B"/>
    <w:rsid w:val="00C23073"/>
    <w:rsid w:val="00C23D37"/>
    <w:rsid w:val="00C249B2"/>
    <w:rsid w:val="00C25DB3"/>
    <w:rsid w:val="00C268F3"/>
    <w:rsid w:val="00C27FBB"/>
    <w:rsid w:val="00C30659"/>
    <w:rsid w:val="00C345CF"/>
    <w:rsid w:val="00C37E08"/>
    <w:rsid w:val="00C40307"/>
    <w:rsid w:val="00C42448"/>
    <w:rsid w:val="00C46BFB"/>
    <w:rsid w:val="00C4793D"/>
    <w:rsid w:val="00C52713"/>
    <w:rsid w:val="00C52C13"/>
    <w:rsid w:val="00C53815"/>
    <w:rsid w:val="00C5433C"/>
    <w:rsid w:val="00C55690"/>
    <w:rsid w:val="00C55B71"/>
    <w:rsid w:val="00C57331"/>
    <w:rsid w:val="00C62596"/>
    <w:rsid w:val="00C6572A"/>
    <w:rsid w:val="00C66D64"/>
    <w:rsid w:val="00C7096B"/>
    <w:rsid w:val="00C73806"/>
    <w:rsid w:val="00C73935"/>
    <w:rsid w:val="00C760BE"/>
    <w:rsid w:val="00C76D53"/>
    <w:rsid w:val="00C82A01"/>
    <w:rsid w:val="00C8420F"/>
    <w:rsid w:val="00C85E37"/>
    <w:rsid w:val="00C86F3D"/>
    <w:rsid w:val="00C87141"/>
    <w:rsid w:val="00C909C1"/>
    <w:rsid w:val="00C91042"/>
    <w:rsid w:val="00C92A72"/>
    <w:rsid w:val="00C92D34"/>
    <w:rsid w:val="00C94E46"/>
    <w:rsid w:val="00C96185"/>
    <w:rsid w:val="00C96461"/>
    <w:rsid w:val="00CA0990"/>
    <w:rsid w:val="00CA09A4"/>
    <w:rsid w:val="00CA0B1F"/>
    <w:rsid w:val="00CA1568"/>
    <w:rsid w:val="00CA2709"/>
    <w:rsid w:val="00CA28FD"/>
    <w:rsid w:val="00CA3565"/>
    <w:rsid w:val="00CA36A4"/>
    <w:rsid w:val="00CA482D"/>
    <w:rsid w:val="00CA6628"/>
    <w:rsid w:val="00CA76B4"/>
    <w:rsid w:val="00CA77F4"/>
    <w:rsid w:val="00CA7F27"/>
    <w:rsid w:val="00CB1B8A"/>
    <w:rsid w:val="00CB580A"/>
    <w:rsid w:val="00CB5D00"/>
    <w:rsid w:val="00CB645A"/>
    <w:rsid w:val="00CB72B1"/>
    <w:rsid w:val="00CC087C"/>
    <w:rsid w:val="00CC0DD1"/>
    <w:rsid w:val="00CC1680"/>
    <w:rsid w:val="00CC31EA"/>
    <w:rsid w:val="00CC50B2"/>
    <w:rsid w:val="00CC724A"/>
    <w:rsid w:val="00CD2314"/>
    <w:rsid w:val="00CD2D84"/>
    <w:rsid w:val="00CD3A32"/>
    <w:rsid w:val="00CD5BD5"/>
    <w:rsid w:val="00CD62E1"/>
    <w:rsid w:val="00CE102E"/>
    <w:rsid w:val="00CE2450"/>
    <w:rsid w:val="00CE407D"/>
    <w:rsid w:val="00CE64ED"/>
    <w:rsid w:val="00CE70C4"/>
    <w:rsid w:val="00CE7F8C"/>
    <w:rsid w:val="00CF1A9A"/>
    <w:rsid w:val="00CF27F5"/>
    <w:rsid w:val="00CF3B77"/>
    <w:rsid w:val="00CF43E0"/>
    <w:rsid w:val="00CF4E24"/>
    <w:rsid w:val="00CF5498"/>
    <w:rsid w:val="00CF5FE9"/>
    <w:rsid w:val="00D01EEE"/>
    <w:rsid w:val="00D0337F"/>
    <w:rsid w:val="00D03C9D"/>
    <w:rsid w:val="00D043FA"/>
    <w:rsid w:val="00D06B94"/>
    <w:rsid w:val="00D06C9C"/>
    <w:rsid w:val="00D10774"/>
    <w:rsid w:val="00D10815"/>
    <w:rsid w:val="00D13D50"/>
    <w:rsid w:val="00D156B0"/>
    <w:rsid w:val="00D16CF9"/>
    <w:rsid w:val="00D20FA3"/>
    <w:rsid w:val="00D21150"/>
    <w:rsid w:val="00D261CF"/>
    <w:rsid w:val="00D26791"/>
    <w:rsid w:val="00D30790"/>
    <w:rsid w:val="00D31BE2"/>
    <w:rsid w:val="00D32BD2"/>
    <w:rsid w:val="00D35B37"/>
    <w:rsid w:val="00D3747E"/>
    <w:rsid w:val="00D420CC"/>
    <w:rsid w:val="00D42680"/>
    <w:rsid w:val="00D433A3"/>
    <w:rsid w:val="00D43679"/>
    <w:rsid w:val="00D44409"/>
    <w:rsid w:val="00D44CB0"/>
    <w:rsid w:val="00D453F5"/>
    <w:rsid w:val="00D46BB9"/>
    <w:rsid w:val="00D47A39"/>
    <w:rsid w:val="00D509A2"/>
    <w:rsid w:val="00D51B75"/>
    <w:rsid w:val="00D51CF7"/>
    <w:rsid w:val="00D548E6"/>
    <w:rsid w:val="00D60085"/>
    <w:rsid w:val="00D60776"/>
    <w:rsid w:val="00D60CF8"/>
    <w:rsid w:val="00D7181E"/>
    <w:rsid w:val="00D7190D"/>
    <w:rsid w:val="00D741E4"/>
    <w:rsid w:val="00D762CC"/>
    <w:rsid w:val="00D76732"/>
    <w:rsid w:val="00D80F0F"/>
    <w:rsid w:val="00D820E1"/>
    <w:rsid w:val="00D8317A"/>
    <w:rsid w:val="00D84EB2"/>
    <w:rsid w:val="00D90CD6"/>
    <w:rsid w:val="00D9141D"/>
    <w:rsid w:val="00D96A07"/>
    <w:rsid w:val="00D978ED"/>
    <w:rsid w:val="00DA064B"/>
    <w:rsid w:val="00DA22BA"/>
    <w:rsid w:val="00DA286A"/>
    <w:rsid w:val="00DA38D1"/>
    <w:rsid w:val="00DA5489"/>
    <w:rsid w:val="00DB05D0"/>
    <w:rsid w:val="00DB08B3"/>
    <w:rsid w:val="00DB11A0"/>
    <w:rsid w:val="00DB6848"/>
    <w:rsid w:val="00DC0310"/>
    <w:rsid w:val="00DC4172"/>
    <w:rsid w:val="00DC438D"/>
    <w:rsid w:val="00DC557C"/>
    <w:rsid w:val="00DC5A46"/>
    <w:rsid w:val="00DD1548"/>
    <w:rsid w:val="00DD16C4"/>
    <w:rsid w:val="00DD210B"/>
    <w:rsid w:val="00DD7821"/>
    <w:rsid w:val="00DD7940"/>
    <w:rsid w:val="00DE0003"/>
    <w:rsid w:val="00DE09C2"/>
    <w:rsid w:val="00DE10FB"/>
    <w:rsid w:val="00DE1706"/>
    <w:rsid w:val="00DE60C7"/>
    <w:rsid w:val="00DF19D1"/>
    <w:rsid w:val="00DF2C30"/>
    <w:rsid w:val="00DF3972"/>
    <w:rsid w:val="00DF4339"/>
    <w:rsid w:val="00DF56CD"/>
    <w:rsid w:val="00DF6B6E"/>
    <w:rsid w:val="00DF6F8A"/>
    <w:rsid w:val="00DF75D7"/>
    <w:rsid w:val="00E04738"/>
    <w:rsid w:val="00E0650A"/>
    <w:rsid w:val="00E10549"/>
    <w:rsid w:val="00E112AC"/>
    <w:rsid w:val="00E15BAC"/>
    <w:rsid w:val="00E17C64"/>
    <w:rsid w:val="00E20D1A"/>
    <w:rsid w:val="00E23A1E"/>
    <w:rsid w:val="00E254E6"/>
    <w:rsid w:val="00E26687"/>
    <w:rsid w:val="00E27BA6"/>
    <w:rsid w:val="00E307FD"/>
    <w:rsid w:val="00E31624"/>
    <w:rsid w:val="00E3341D"/>
    <w:rsid w:val="00E3360A"/>
    <w:rsid w:val="00E33BD7"/>
    <w:rsid w:val="00E34A0E"/>
    <w:rsid w:val="00E34D8B"/>
    <w:rsid w:val="00E40971"/>
    <w:rsid w:val="00E40DC8"/>
    <w:rsid w:val="00E41ECE"/>
    <w:rsid w:val="00E42AA6"/>
    <w:rsid w:val="00E42D0D"/>
    <w:rsid w:val="00E43DD9"/>
    <w:rsid w:val="00E4521B"/>
    <w:rsid w:val="00E4595A"/>
    <w:rsid w:val="00E50019"/>
    <w:rsid w:val="00E510E2"/>
    <w:rsid w:val="00E5165A"/>
    <w:rsid w:val="00E52607"/>
    <w:rsid w:val="00E52971"/>
    <w:rsid w:val="00E5508D"/>
    <w:rsid w:val="00E57463"/>
    <w:rsid w:val="00E60C67"/>
    <w:rsid w:val="00E6104F"/>
    <w:rsid w:val="00E61AC1"/>
    <w:rsid w:val="00E62B99"/>
    <w:rsid w:val="00E63E7C"/>
    <w:rsid w:val="00E64C8F"/>
    <w:rsid w:val="00E700FD"/>
    <w:rsid w:val="00E70861"/>
    <w:rsid w:val="00E74A55"/>
    <w:rsid w:val="00E7513C"/>
    <w:rsid w:val="00E759CA"/>
    <w:rsid w:val="00E75E0D"/>
    <w:rsid w:val="00E761E2"/>
    <w:rsid w:val="00E8009F"/>
    <w:rsid w:val="00E803D6"/>
    <w:rsid w:val="00E80CF7"/>
    <w:rsid w:val="00E8259A"/>
    <w:rsid w:val="00E83D31"/>
    <w:rsid w:val="00E87893"/>
    <w:rsid w:val="00E87C03"/>
    <w:rsid w:val="00E95012"/>
    <w:rsid w:val="00E958E7"/>
    <w:rsid w:val="00E96B27"/>
    <w:rsid w:val="00EA140C"/>
    <w:rsid w:val="00EA243F"/>
    <w:rsid w:val="00EA2C09"/>
    <w:rsid w:val="00EA7E35"/>
    <w:rsid w:val="00EA7E42"/>
    <w:rsid w:val="00EB0918"/>
    <w:rsid w:val="00EB100A"/>
    <w:rsid w:val="00EB4321"/>
    <w:rsid w:val="00EB4E6B"/>
    <w:rsid w:val="00EB5224"/>
    <w:rsid w:val="00EC0987"/>
    <w:rsid w:val="00EC109D"/>
    <w:rsid w:val="00EC2EC0"/>
    <w:rsid w:val="00EC3A47"/>
    <w:rsid w:val="00EC50CE"/>
    <w:rsid w:val="00EC5C24"/>
    <w:rsid w:val="00EC7DFF"/>
    <w:rsid w:val="00ED0A09"/>
    <w:rsid w:val="00ED4523"/>
    <w:rsid w:val="00ED5329"/>
    <w:rsid w:val="00EE128B"/>
    <w:rsid w:val="00EE294C"/>
    <w:rsid w:val="00EE3658"/>
    <w:rsid w:val="00EF18B6"/>
    <w:rsid w:val="00EF3E3B"/>
    <w:rsid w:val="00EF6CC2"/>
    <w:rsid w:val="00EF75FE"/>
    <w:rsid w:val="00F03429"/>
    <w:rsid w:val="00F05967"/>
    <w:rsid w:val="00F06C04"/>
    <w:rsid w:val="00F07FA1"/>
    <w:rsid w:val="00F13F2B"/>
    <w:rsid w:val="00F16D8C"/>
    <w:rsid w:val="00F21483"/>
    <w:rsid w:val="00F23B02"/>
    <w:rsid w:val="00F264FA"/>
    <w:rsid w:val="00F3014B"/>
    <w:rsid w:val="00F35B7C"/>
    <w:rsid w:val="00F36011"/>
    <w:rsid w:val="00F36772"/>
    <w:rsid w:val="00F36D4C"/>
    <w:rsid w:val="00F37ABC"/>
    <w:rsid w:val="00F407AA"/>
    <w:rsid w:val="00F40C02"/>
    <w:rsid w:val="00F40CE3"/>
    <w:rsid w:val="00F41450"/>
    <w:rsid w:val="00F4206F"/>
    <w:rsid w:val="00F43131"/>
    <w:rsid w:val="00F438FF"/>
    <w:rsid w:val="00F44A5F"/>
    <w:rsid w:val="00F45C37"/>
    <w:rsid w:val="00F46933"/>
    <w:rsid w:val="00F537C1"/>
    <w:rsid w:val="00F53E31"/>
    <w:rsid w:val="00F57731"/>
    <w:rsid w:val="00F579A6"/>
    <w:rsid w:val="00F6017F"/>
    <w:rsid w:val="00F60B14"/>
    <w:rsid w:val="00F635E6"/>
    <w:rsid w:val="00F64A14"/>
    <w:rsid w:val="00F65FFE"/>
    <w:rsid w:val="00F66283"/>
    <w:rsid w:val="00F670A5"/>
    <w:rsid w:val="00F67501"/>
    <w:rsid w:val="00F70DF1"/>
    <w:rsid w:val="00F710C1"/>
    <w:rsid w:val="00F7246A"/>
    <w:rsid w:val="00F73499"/>
    <w:rsid w:val="00F73D63"/>
    <w:rsid w:val="00F75E7A"/>
    <w:rsid w:val="00F761AC"/>
    <w:rsid w:val="00F77963"/>
    <w:rsid w:val="00F809DE"/>
    <w:rsid w:val="00F812E6"/>
    <w:rsid w:val="00F81F73"/>
    <w:rsid w:val="00F8320A"/>
    <w:rsid w:val="00F846DC"/>
    <w:rsid w:val="00F877D5"/>
    <w:rsid w:val="00F87E5A"/>
    <w:rsid w:val="00F90FDC"/>
    <w:rsid w:val="00F917AF"/>
    <w:rsid w:val="00F923F1"/>
    <w:rsid w:val="00F92E23"/>
    <w:rsid w:val="00F93721"/>
    <w:rsid w:val="00F93D0D"/>
    <w:rsid w:val="00F93D6A"/>
    <w:rsid w:val="00F94579"/>
    <w:rsid w:val="00F95402"/>
    <w:rsid w:val="00F9702B"/>
    <w:rsid w:val="00F976D1"/>
    <w:rsid w:val="00FA1BC6"/>
    <w:rsid w:val="00FA21EC"/>
    <w:rsid w:val="00FA4539"/>
    <w:rsid w:val="00FA5952"/>
    <w:rsid w:val="00FB1E82"/>
    <w:rsid w:val="00FB38CE"/>
    <w:rsid w:val="00FB5D80"/>
    <w:rsid w:val="00FB6B30"/>
    <w:rsid w:val="00FB6F9E"/>
    <w:rsid w:val="00FB75C1"/>
    <w:rsid w:val="00FC040D"/>
    <w:rsid w:val="00FC0522"/>
    <w:rsid w:val="00FC1681"/>
    <w:rsid w:val="00FC441E"/>
    <w:rsid w:val="00FC5933"/>
    <w:rsid w:val="00FC5A10"/>
    <w:rsid w:val="00FC5FC2"/>
    <w:rsid w:val="00FD09B5"/>
    <w:rsid w:val="00FD0FCA"/>
    <w:rsid w:val="00FD10DF"/>
    <w:rsid w:val="00FD2D6B"/>
    <w:rsid w:val="00FD33AF"/>
    <w:rsid w:val="00FD53BD"/>
    <w:rsid w:val="00FE0073"/>
    <w:rsid w:val="00FE1804"/>
    <w:rsid w:val="00FE2FF0"/>
    <w:rsid w:val="00FE4100"/>
    <w:rsid w:val="00FE4D22"/>
    <w:rsid w:val="00FE5808"/>
    <w:rsid w:val="00FE7523"/>
    <w:rsid w:val="00FF0854"/>
    <w:rsid w:val="00FF2638"/>
    <w:rsid w:val="00FF3CC5"/>
    <w:rsid w:val="00FF4E6F"/>
    <w:rsid w:val="00FF788B"/>
    <w:rsid w:val="11A7BE7E"/>
    <w:rsid w:val="14DAFC49"/>
    <w:rsid w:val="166402DB"/>
    <w:rsid w:val="1842461C"/>
    <w:rsid w:val="4125A912"/>
    <w:rsid w:val="4C9B1AB7"/>
    <w:rsid w:val="57A92D1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0630EC"/>
  <w15:docId w15:val="{33BB430C-A5BD-47D2-BB57-434D74C87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0EB9"/>
    <w:pPr>
      <w:spacing w:after="120"/>
    </w:pPr>
    <w:rPr>
      <w:rFonts w:ascii="Arial" w:hAnsi="Arial"/>
    </w:rPr>
  </w:style>
  <w:style w:type="paragraph" w:styleId="Heading1">
    <w:name w:val="heading 1"/>
    <w:basedOn w:val="Normal"/>
    <w:next w:val="Normal"/>
    <w:link w:val="Heading1Char"/>
    <w:uiPriority w:val="9"/>
    <w:qFormat/>
    <w:rsid w:val="00F60B14"/>
    <w:pPr>
      <w:keepNext/>
      <w:keepLines/>
      <w:spacing w:before="120"/>
      <w:jc w:val="center"/>
      <w:outlineLvl w:val="0"/>
    </w:pPr>
    <w:rPr>
      <w:rFonts w:eastAsiaTheme="majorEastAsia" w:cstheme="majorBidi"/>
      <w:b/>
      <w:bCs/>
      <w:color w:val="365F91" w:themeColor="accent1" w:themeShade="BF"/>
      <w:sz w:val="36"/>
      <w:szCs w:val="32"/>
    </w:rPr>
  </w:style>
  <w:style w:type="paragraph" w:styleId="Heading2">
    <w:name w:val="heading 2"/>
    <w:basedOn w:val="Normal"/>
    <w:next w:val="Normal"/>
    <w:link w:val="Heading2Char"/>
    <w:qFormat/>
    <w:rsid w:val="009B798F"/>
    <w:pPr>
      <w:keepNext/>
      <w:tabs>
        <w:tab w:val="left" w:pos="7185"/>
      </w:tabs>
      <w:spacing w:before="160"/>
      <w:contextualSpacing/>
      <w:outlineLvl w:val="1"/>
    </w:pPr>
    <w:rPr>
      <w:rFonts w:cstheme="minorHAnsi"/>
      <w:b/>
      <w:caps/>
      <w:color w:val="1F497D" w:themeColor="text2"/>
      <w:sz w:val="24"/>
      <w:szCs w:val="24"/>
    </w:rPr>
  </w:style>
  <w:style w:type="paragraph" w:styleId="Heading3">
    <w:name w:val="heading 3"/>
    <w:basedOn w:val="Normal"/>
    <w:next w:val="Normal"/>
    <w:link w:val="Heading3Char"/>
    <w:uiPriority w:val="9"/>
    <w:unhideWhenUsed/>
    <w:qFormat/>
    <w:rsid w:val="00C40307"/>
    <w:pPr>
      <w:keepNext/>
      <w:keepLines/>
      <w:spacing w:before="120"/>
      <w:contextualSpacing/>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6BFB"/>
    <w:pPr>
      <w:tabs>
        <w:tab w:val="center" w:pos="4680"/>
        <w:tab w:val="right" w:pos="9360"/>
      </w:tabs>
    </w:pPr>
  </w:style>
  <w:style w:type="character" w:customStyle="1" w:styleId="HeaderChar">
    <w:name w:val="Header Char"/>
    <w:basedOn w:val="DefaultParagraphFont"/>
    <w:link w:val="Header"/>
    <w:uiPriority w:val="99"/>
    <w:rsid w:val="00C46BFB"/>
  </w:style>
  <w:style w:type="paragraph" w:styleId="Footer">
    <w:name w:val="footer"/>
    <w:basedOn w:val="Normal"/>
    <w:link w:val="FooterChar"/>
    <w:uiPriority w:val="99"/>
    <w:unhideWhenUsed/>
    <w:rsid w:val="00C46BFB"/>
    <w:pPr>
      <w:tabs>
        <w:tab w:val="center" w:pos="4680"/>
        <w:tab w:val="right" w:pos="9360"/>
      </w:tabs>
    </w:pPr>
  </w:style>
  <w:style w:type="character" w:customStyle="1" w:styleId="FooterChar">
    <w:name w:val="Footer Char"/>
    <w:basedOn w:val="DefaultParagraphFont"/>
    <w:link w:val="Footer"/>
    <w:uiPriority w:val="99"/>
    <w:rsid w:val="00C46BFB"/>
  </w:style>
  <w:style w:type="paragraph" w:styleId="ListParagraph">
    <w:name w:val="List Paragraph"/>
    <w:basedOn w:val="Normal"/>
    <w:uiPriority w:val="34"/>
    <w:qFormat/>
    <w:rsid w:val="00C46BFB"/>
    <w:pPr>
      <w:ind w:left="720"/>
      <w:contextualSpacing/>
    </w:pPr>
  </w:style>
  <w:style w:type="paragraph" w:styleId="BalloonText">
    <w:name w:val="Balloon Text"/>
    <w:basedOn w:val="Normal"/>
    <w:link w:val="BalloonTextChar"/>
    <w:uiPriority w:val="99"/>
    <w:semiHidden/>
    <w:unhideWhenUsed/>
    <w:rsid w:val="000B59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5970"/>
    <w:rPr>
      <w:rFonts w:ascii="Segoe UI" w:hAnsi="Segoe UI" w:cs="Segoe UI"/>
      <w:sz w:val="18"/>
      <w:szCs w:val="18"/>
    </w:rPr>
  </w:style>
  <w:style w:type="character" w:customStyle="1" w:styleId="Heading2Char">
    <w:name w:val="Heading 2 Char"/>
    <w:basedOn w:val="DefaultParagraphFont"/>
    <w:link w:val="Heading2"/>
    <w:rsid w:val="009B798F"/>
    <w:rPr>
      <w:rFonts w:ascii="Arial" w:hAnsi="Arial" w:cstheme="minorHAnsi"/>
      <w:b/>
      <w:caps/>
      <w:color w:val="1F497D" w:themeColor="text2"/>
      <w:sz w:val="24"/>
      <w:szCs w:val="24"/>
    </w:rPr>
  </w:style>
  <w:style w:type="paragraph" w:customStyle="1" w:styleId="TableText">
    <w:name w:val="Table Text"/>
    <w:basedOn w:val="Normal"/>
    <w:rsid w:val="00CB645A"/>
    <w:pPr>
      <w:spacing w:before="20"/>
    </w:pPr>
    <w:rPr>
      <w:rFonts w:eastAsia="Times New Roman" w:cs="Arial"/>
      <w:noProof/>
      <w:sz w:val="24"/>
      <w:szCs w:val="24"/>
    </w:rPr>
  </w:style>
  <w:style w:type="character" w:styleId="Hyperlink">
    <w:name w:val="Hyperlink"/>
    <w:basedOn w:val="DefaultParagraphFont"/>
    <w:uiPriority w:val="99"/>
    <w:unhideWhenUsed/>
    <w:rsid w:val="00823897"/>
    <w:rPr>
      <w:color w:val="0000FF" w:themeColor="hyperlink"/>
      <w:u w:val="single"/>
    </w:rPr>
  </w:style>
  <w:style w:type="paragraph" w:customStyle="1" w:styleId="ProcTitle">
    <w:name w:val="ProcTitle"/>
    <w:basedOn w:val="Normal"/>
    <w:link w:val="ProcTitleChar"/>
    <w:qFormat/>
    <w:rsid w:val="00EC2EC0"/>
  </w:style>
  <w:style w:type="paragraph" w:customStyle="1" w:styleId="ProcedureTitle">
    <w:name w:val="ProcedureTitle"/>
    <w:basedOn w:val="ProcTitle"/>
    <w:next w:val="Normal"/>
    <w:link w:val="ProcedureTitleChar"/>
    <w:qFormat/>
    <w:rsid w:val="00EC2EC0"/>
    <w:rPr>
      <w:rFonts w:cs="Arial"/>
      <w:b/>
      <w:sz w:val="28"/>
      <w:szCs w:val="28"/>
    </w:rPr>
  </w:style>
  <w:style w:type="character" w:customStyle="1" w:styleId="ProcTitleChar">
    <w:name w:val="ProcTitle Char"/>
    <w:basedOn w:val="DefaultParagraphFont"/>
    <w:link w:val="ProcTitle"/>
    <w:rsid w:val="00EC2EC0"/>
  </w:style>
  <w:style w:type="character" w:customStyle="1" w:styleId="ProcedureTitleChar">
    <w:name w:val="ProcedureTitle Char"/>
    <w:basedOn w:val="ProcTitleChar"/>
    <w:link w:val="ProcedureTitle"/>
    <w:rsid w:val="00EC2EC0"/>
    <w:rPr>
      <w:rFonts w:ascii="Arial" w:hAnsi="Arial" w:cs="Arial"/>
      <w:b/>
      <w:sz w:val="28"/>
      <w:szCs w:val="28"/>
    </w:rPr>
  </w:style>
  <w:style w:type="character" w:customStyle="1" w:styleId="Heading1Char">
    <w:name w:val="Heading 1 Char"/>
    <w:basedOn w:val="DefaultParagraphFont"/>
    <w:link w:val="Heading1"/>
    <w:uiPriority w:val="9"/>
    <w:rsid w:val="00F60B14"/>
    <w:rPr>
      <w:rFonts w:ascii="Arial" w:eastAsiaTheme="majorEastAsia" w:hAnsi="Arial" w:cstheme="majorBidi"/>
      <w:b/>
      <w:bCs/>
      <w:color w:val="365F91" w:themeColor="accent1" w:themeShade="BF"/>
      <w:sz w:val="36"/>
      <w:szCs w:val="32"/>
    </w:rPr>
  </w:style>
  <w:style w:type="table" w:styleId="TableGrid">
    <w:name w:val="Table Grid"/>
    <w:basedOn w:val="TableNormal"/>
    <w:uiPriority w:val="59"/>
    <w:rsid w:val="00CB5D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301AF"/>
    <w:rPr>
      <w:sz w:val="16"/>
      <w:szCs w:val="16"/>
    </w:rPr>
  </w:style>
  <w:style w:type="paragraph" w:styleId="CommentText">
    <w:name w:val="annotation text"/>
    <w:basedOn w:val="Normal"/>
    <w:link w:val="CommentTextChar"/>
    <w:uiPriority w:val="99"/>
    <w:semiHidden/>
    <w:unhideWhenUsed/>
    <w:rsid w:val="008301AF"/>
    <w:rPr>
      <w:sz w:val="20"/>
      <w:szCs w:val="20"/>
    </w:rPr>
  </w:style>
  <w:style w:type="character" w:customStyle="1" w:styleId="CommentTextChar">
    <w:name w:val="Comment Text Char"/>
    <w:basedOn w:val="DefaultParagraphFont"/>
    <w:link w:val="CommentText"/>
    <w:uiPriority w:val="99"/>
    <w:semiHidden/>
    <w:rsid w:val="008301AF"/>
    <w:rPr>
      <w:sz w:val="20"/>
      <w:szCs w:val="20"/>
    </w:rPr>
  </w:style>
  <w:style w:type="paragraph" w:styleId="CommentSubject">
    <w:name w:val="annotation subject"/>
    <w:basedOn w:val="CommentText"/>
    <w:next w:val="CommentText"/>
    <w:link w:val="CommentSubjectChar"/>
    <w:uiPriority w:val="99"/>
    <w:semiHidden/>
    <w:unhideWhenUsed/>
    <w:rsid w:val="008301AF"/>
    <w:rPr>
      <w:b/>
      <w:bCs/>
    </w:rPr>
  </w:style>
  <w:style w:type="character" w:customStyle="1" w:styleId="CommentSubjectChar">
    <w:name w:val="Comment Subject Char"/>
    <w:basedOn w:val="CommentTextChar"/>
    <w:link w:val="CommentSubject"/>
    <w:uiPriority w:val="99"/>
    <w:semiHidden/>
    <w:rsid w:val="008301AF"/>
    <w:rPr>
      <w:b/>
      <w:bCs/>
      <w:sz w:val="20"/>
      <w:szCs w:val="20"/>
    </w:rPr>
  </w:style>
  <w:style w:type="character" w:styleId="UnresolvedMention">
    <w:name w:val="Unresolved Mention"/>
    <w:basedOn w:val="DefaultParagraphFont"/>
    <w:uiPriority w:val="99"/>
    <w:semiHidden/>
    <w:unhideWhenUsed/>
    <w:rsid w:val="008D3872"/>
    <w:rPr>
      <w:color w:val="605E5C"/>
      <w:shd w:val="clear" w:color="auto" w:fill="E1DFDD"/>
    </w:rPr>
  </w:style>
  <w:style w:type="character" w:styleId="FollowedHyperlink">
    <w:name w:val="FollowedHyperlink"/>
    <w:basedOn w:val="DefaultParagraphFont"/>
    <w:uiPriority w:val="99"/>
    <w:semiHidden/>
    <w:unhideWhenUsed/>
    <w:rsid w:val="00066069"/>
    <w:rPr>
      <w:color w:val="800080" w:themeColor="followedHyperlink"/>
      <w:u w:val="single"/>
    </w:rPr>
  </w:style>
  <w:style w:type="character" w:customStyle="1" w:styleId="apple-converted-space">
    <w:name w:val="apple-converted-space"/>
    <w:basedOn w:val="DefaultParagraphFont"/>
    <w:rsid w:val="00AB047F"/>
  </w:style>
  <w:style w:type="character" w:customStyle="1" w:styleId="StyleLatinArialComplexArial11pt">
    <w:name w:val="Style (Latin) Arial (Complex) Arial 11 pt"/>
    <w:basedOn w:val="DefaultParagraphFont"/>
    <w:rsid w:val="008503E9"/>
    <w:rPr>
      <w:rFonts w:ascii="Arial" w:hAnsi="Arial" w:cs="Arial" w:hint="default"/>
    </w:rPr>
  </w:style>
  <w:style w:type="paragraph" w:customStyle="1" w:styleId="Subhead2">
    <w:name w:val="Subhead 2"/>
    <w:basedOn w:val="Normal"/>
    <w:qFormat/>
    <w:rsid w:val="004624EC"/>
    <w:pPr>
      <w:spacing w:before="360"/>
    </w:pPr>
    <w:rPr>
      <w:b/>
      <w:caps/>
      <w:color w:val="4F81BD" w:themeColor="accent1"/>
      <w:sz w:val="24"/>
      <w:szCs w:val="24"/>
    </w:rPr>
  </w:style>
  <w:style w:type="character" w:customStyle="1" w:styleId="Heading3Char">
    <w:name w:val="Heading 3 Char"/>
    <w:basedOn w:val="DefaultParagraphFont"/>
    <w:link w:val="Heading3"/>
    <w:uiPriority w:val="9"/>
    <w:rsid w:val="00C40307"/>
    <w:rPr>
      <w:rFonts w:ascii="Arial" w:eastAsiaTheme="majorEastAsia" w:hAnsi="Arial" w:cstheme="majorBidi"/>
      <w:b/>
      <w:szCs w:val="24"/>
    </w:rPr>
  </w:style>
  <w:style w:type="character" w:customStyle="1" w:styleId="normaltextrun">
    <w:name w:val="normaltextrun"/>
    <w:basedOn w:val="DefaultParagraphFont"/>
    <w:rsid w:val="00EE128B"/>
  </w:style>
  <w:style w:type="character" w:customStyle="1" w:styleId="eop">
    <w:name w:val="eop"/>
    <w:basedOn w:val="DefaultParagraphFont"/>
    <w:rsid w:val="00EE128B"/>
  </w:style>
  <w:style w:type="paragraph" w:styleId="Revision">
    <w:name w:val="Revision"/>
    <w:hidden/>
    <w:uiPriority w:val="99"/>
    <w:semiHidden/>
    <w:rsid w:val="00F36011"/>
    <w:rPr>
      <w:rFonts w:ascii="Arial" w:hAnsi="Arial"/>
    </w:rPr>
  </w:style>
  <w:style w:type="paragraph" w:styleId="Caption">
    <w:name w:val="caption"/>
    <w:basedOn w:val="Normal"/>
    <w:next w:val="Normal"/>
    <w:uiPriority w:val="35"/>
    <w:unhideWhenUsed/>
    <w:qFormat/>
    <w:rsid w:val="00343411"/>
    <w:rPr>
      <w:i/>
      <w:iCs/>
      <w:szCs w:val="18"/>
    </w:rPr>
  </w:style>
  <w:style w:type="table" w:styleId="PlainTable1">
    <w:name w:val="Plain Table 1"/>
    <w:basedOn w:val="TableNormal"/>
    <w:uiPriority w:val="41"/>
    <w:rsid w:val="0034341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ageNumber">
    <w:name w:val="page number"/>
    <w:basedOn w:val="DefaultParagraphFont"/>
    <w:uiPriority w:val="99"/>
    <w:semiHidden/>
    <w:unhideWhenUsed/>
    <w:rsid w:val="009210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068761">
      <w:bodyDiv w:val="1"/>
      <w:marLeft w:val="0"/>
      <w:marRight w:val="0"/>
      <w:marTop w:val="0"/>
      <w:marBottom w:val="0"/>
      <w:divBdr>
        <w:top w:val="none" w:sz="0" w:space="0" w:color="auto"/>
        <w:left w:val="none" w:sz="0" w:space="0" w:color="auto"/>
        <w:bottom w:val="none" w:sz="0" w:space="0" w:color="auto"/>
        <w:right w:val="none" w:sz="0" w:space="0" w:color="auto"/>
      </w:divBdr>
    </w:div>
    <w:div w:id="193620989">
      <w:bodyDiv w:val="1"/>
      <w:marLeft w:val="0"/>
      <w:marRight w:val="0"/>
      <w:marTop w:val="0"/>
      <w:marBottom w:val="0"/>
      <w:divBdr>
        <w:top w:val="none" w:sz="0" w:space="0" w:color="auto"/>
        <w:left w:val="none" w:sz="0" w:space="0" w:color="auto"/>
        <w:bottom w:val="none" w:sz="0" w:space="0" w:color="auto"/>
        <w:right w:val="none" w:sz="0" w:space="0" w:color="auto"/>
      </w:divBdr>
    </w:div>
    <w:div w:id="199056557">
      <w:bodyDiv w:val="1"/>
      <w:marLeft w:val="0"/>
      <w:marRight w:val="0"/>
      <w:marTop w:val="0"/>
      <w:marBottom w:val="0"/>
      <w:divBdr>
        <w:top w:val="none" w:sz="0" w:space="0" w:color="auto"/>
        <w:left w:val="none" w:sz="0" w:space="0" w:color="auto"/>
        <w:bottom w:val="none" w:sz="0" w:space="0" w:color="auto"/>
        <w:right w:val="none" w:sz="0" w:space="0" w:color="auto"/>
      </w:divBdr>
      <w:divsChild>
        <w:div w:id="243421974">
          <w:marLeft w:val="547"/>
          <w:marRight w:val="0"/>
          <w:marTop w:val="0"/>
          <w:marBottom w:val="0"/>
          <w:divBdr>
            <w:top w:val="none" w:sz="0" w:space="0" w:color="auto"/>
            <w:left w:val="none" w:sz="0" w:space="0" w:color="auto"/>
            <w:bottom w:val="none" w:sz="0" w:space="0" w:color="auto"/>
            <w:right w:val="none" w:sz="0" w:space="0" w:color="auto"/>
          </w:divBdr>
        </w:div>
      </w:divsChild>
    </w:div>
    <w:div w:id="437144359">
      <w:bodyDiv w:val="1"/>
      <w:marLeft w:val="0"/>
      <w:marRight w:val="0"/>
      <w:marTop w:val="0"/>
      <w:marBottom w:val="0"/>
      <w:divBdr>
        <w:top w:val="none" w:sz="0" w:space="0" w:color="auto"/>
        <w:left w:val="none" w:sz="0" w:space="0" w:color="auto"/>
        <w:bottom w:val="none" w:sz="0" w:space="0" w:color="auto"/>
        <w:right w:val="none" w:sz="0" w:space="0" w:color="auto"/>
      </w:divBdr>
      <w:divsChild>
        <w:div w:id="945892336">
          <w:marLeft w:val="547"/>
          <w:marRight w:val="0"/>
          <w:marTop w:val="0"/>
          <w:marBottom w:val="0"/>
          <w:divBdr>
            <w:top w:val="none" w:sz="0" w:space="0" w:color="auto"/>
            <w:left w:val="none" w:sz="0" w:space="0" w:color="auto"/>
            <w:bottom w:val="none" w:sz="0" w:space="0" w:color="auto"/>
            <w:right w:val="none" w:sz="0" w:space="0" w:color="auto"/>
          </w:divBdr>
        </w:div>
      </w:divsChild>
    </w:div>
    <w:div w:id="468480628">
      <w:bodyDiv w:val="1"/>
      <w:marLeft w:val="0"/>
      <w:marRight w:val="0"/>
      <w:marTop w:val="0"/>
      <w:marBottom w:val="0"/>
      <w:divBdr>
        <w:top w:val="none" w:sz="0" w:space="0" w:color="auto"/>
        <w:left w:val="none" w:sz="0" w:space="0" w:color="auto"/>
        <w:bottom w:val="none" w:sz="0" w:space="0" w:color="auto"/>
        <w:right w:val="none" w:sz="0" w:space="0" w:color="auto"/>
      </w:divBdr>
    </w:div>
    <w:div w:id="520627983">
      <w:bodyDiv w:val="1"/>
      <w:marLeft w:val="0"/>
      <w:marRight w:val="0"/>
      <w:marTop w:val="0"/>
      <w:marBottom w:val="0"/>
      <w:divBdr>
        <w:top w:val="none" w:sz="0" w:space="0" w:color="auto"/>
        <w:left w:val="none" w:sz="0" w:space="0" w:color="auto"/>
        <w:bottom w:val="none" w:sz="0" w:space="0" w:color="auto"/>
        <w:right w:val="none" w:sz="0" w:space="0" w:color="auto"/>
      </w:divBdr>
    </w:div>
    <w:div w:id="563954817">
      <w:bodyDiv w:val="1"/>
      <w:marLeft w:val="0"/>
      <w:marRight w:val="0"/>
      <w:marTop w:val="0"/>
      <w:marBottom w:val="0"/>
      <w:divBdr>
        <w:top w:val="none" w:sz="0" w:space="0" w:color="auto"/>
        <w:left w:val="none" w:sz="0" w:space="0" w:color="auto"/>
        <w:bottom w:val="none" w:sz="0" w:space="0" w:color="auto"/>
        <w:right w:val="none" w:sz="0" w:space="0" w:color="auto"/>
      </w:divBdr>
      <w:divsChild>
        <w:div w:id="372194719">
          <w:marLeft w:val="547"/>
          <w:marRight w:val="0"/>
          <w:marTop w:val="0"/>
          <w:marBottom w:val="0"/>
          <w:divBdr>
            <w:top w:val="none" w:sz="0" w:space="0" w:color="auto"/>
            <w:left w:val="none" w:sz="0" w:space="0" w:color="auto"/>
            <w:bottom w:val="none" w:sz="0" w:space="0" w:color="auto"/>
            <w:right w:val="none" w:sz="0" w:space="0" w:color="auto"/>
          </w:divBdr>
        </w:div>
      </w:divsChild>
    </w:div>
    <w:div w:id="856386168">
      <w:bodyDiv w:val="1"/>
      <w:marLeft w:val="0"/>
      <w:marRight w:val="0"/>
      <w:marTop w:val="0"/>
      <w:marBottom w:val="0"/>
      <w:divBdr>
        <w:top w:val="none" w:sz="0" w:space="0" w:color="auto"/>
        <w:left w:val="none" w:sz="0" w:space="0" w:color="auto"/>
        <w:bottom w:val="none" w:sz="0" w:space="0" w:color="auto"/>
        <w:right w:val="none" w:sz="0" w:space="0" w:color="auto"/>
      </w:divBdr>
      <w:divsChild>
        <w:div w:id="989138012">
          <w:marLeft w:val="547"/>
          <w:marRight w:val="0"/>
          <w:marTop w:val="0"/>
          <w:marBottom w:val="0"/>
          <w:divBdr>
            <w:top w:val="none" w:sz="0" w:space="0" w:color="auto"/>
            <w:left w:val="none" w:sz="0" w:space="0" w:color="auto"/>
            <w:bottom w:val="none" w:sz="0" w:space="0" w:color="auto"/>
            <w:right w:val="none" w:sz="0" w:space="0" w:color="auto"/>
          </w:divBdr>
        </w:div>
      </w:divsChild>
    </w:div>
    <w:div w:id="924337191">
      <w:bodyDiv w:val="1"/>
      <w:marLeft w:val="0"/>
      <w:marRight w:val="0"/>
      <w:marTop w:val="0"/>
      <w:marBottom w:val="0"/>
      <w:divBdr>
        <w:top w:val="none" w:sz="0" w:space="0" w:color="auto"/>
        <w:left w:val="none" w:sz="0" w:space="0" w:color="auto"/>
        <w:bottom w:val="none" w:sz="0" w:space="0" w:color="auto"/>
        <w:right w:val="none" w:sz="0" w:space="0" w:color="auto"/>
      </w:divBdr>
    </w:div>
    <w:div w:id="1096054797">
      <w:bodyDiv w:val="1"/>
      <w:marLeft w:val="0"/>
      <w:marRight w:val="0"/>
      <w:marTop w:val="0"/>
      <w:marBottom w:val="0"/>
      <w:divBdr>
        <w:top w:val="none" w:sz="0" w:space="0" w:color="auto"/>
        <w:left w:val="none" w:sz="0" w:space="0" w:color="auto"/>
        <w:bottom w:val="none" w:sz="0" w:space="0" w:color="auto"/>
        <w:right w:val="none" w:sz="0" w:space="0" w:color="auto"/>
      </w:divBdr>
      <w:divsChild>
        <w:div w:id="1076778262">
          <w:marLeft w:val="547"/>
          <w:marRight w:val="0"/>
          <w:marTop w:val="0"/>
          <w:marBottom w:val="0"/>
          <w:divBdr>
            <w:top w:val="none" w:sz="0" w:space="0" w:color="auto"/>
            <w:left w:val="none" w:sz="0" w:space="0" w:color="auto"/>
            <w:bottom w:val="none" w:sz="0" w:space="0" w:color="auto"/>
            <w:right w:val="none" w:sz="0" w:space="0" w:color="auto"/>
          </w:divBdr>
        </w:div>
      </w:divsChild>
    </w:div>
    <w:div w:id="1621036385">
      <w:bodyDiv w:val="1"/>
      <w:marLeft w:val="0"/>
      <w:marRight w:val="0"/>
      <w:marTop w:val="0"/>
      <w:marBottom w:val="0"/>
      <w:divBdr>
        <w:top w:val="none" w:sz="0" w:space="0" w:color="auto"/>
        <w:left w:val="none" w:sz="0" w:space="0" w:color="auto"/>
        <w:bottom w:val="none" w:sz="0" w:space="0" w:color="auto"/>
        <w:right w:val="none" w:sz="0" w:space="0" w:color="auto"/>
      </w:divBdr>
      <w:divsChild>
        <w:div w:id="2006011111">
          <w:marLeft w:val="547"/>
          <w:marRight w:val="0"/>
          <w:marTop w:val="0"/>
          <w:marBottom w:val="0"/>
          <w:divBdr>
            <w:top w:val="none" w:sz="0" w:space="0" w:color="auto"/>
            <w:left w:val="none" w:sz="0" w:space="0" w:color="auto"/>
            <w:bottom w:val="none" w:sz="0" w:space="0" w:color="auto"/>
            <w:right w:val="none" w:sz="0" w:space="0" w:color="auto"/>
          </w:divBdr>
        </w:div>
      </w:divsChild>
    </w:div>
    <w:div w:id="2064138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3.xml"/><Relationship Id="rId18" Type="http://schemas.openxmlformats.org/officeDocument/2006/relationships/hyperlink" Target="http://education.ohio.gov/Topics/Special-Education/Special-Education-Data-and-Funding/District-Level-Performance-Data" TargetMode="External"/><Relationship Id="rId26" Type="http://schemas.openxmlformats.org/officeDocument/2006/relationships/hyperlink" Target="https://codes.ohio.gov/ohio-revised-code/section-3313.617/9-29-2015" TargetMode="External"/><Relationship Id="rId3" Type="http://schemas.openxmlformats.org/officeDocument/2006/relationships/customXml" Target="../customXml/item3.xml"/><Relationship Id="rId21" Type="http://schemas.openxmlformats.org/officeDocument/2006/relationships/hyperlink" Target="http://education.ohio.gov/Topics/Data/EMIS/SLDS-Grant-Project-3" TargetMode="External"/><Relationship Id="rId7" Type="http://schemas.openxmlformats.org/officeDocument/2006/relationships/settings" Target="settings.xml"/><Relationship Id="rId12" Type="http://schemas.openxmlformats.org/officeDocument/2006/relationships/chart" Target="charts/chart2.xml"/><Relationship Id="rId17" Type="http://schemas.openxmlformats.org/officeDocument/2006/relationships/hyperlink" Target="https://secureservercdn.net/198.71.233.111/d25.2ac.myftpupload.com/wp-content/uploads/2018/11/11.8.18-Doe-Settlement.pdf" TargetMode="External"/><Relationship Id="rId25" Type="http://schemas.openxmlformats.org/officeDocument/2006/relationships/hyperlink" Target="http://education.ohio.gov/Topics/Ohio-s-Graduation-Requirements"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hart" Target="charts/chart6.xml"/><Relationship Id="rId20" Type="http://schemas.openxmlformats.org/officeDocument/2006/relationships/hyperlink" Target="http://education.ohio.gov/getattachment/Topics/Career-Tech/CTE-Performance-Data-and-Accountability/Perkins-Resources/Carl-D-Perkins-V-State-Plan/Perkins_V_State_Plan_FINAL_3_23_2020.pdf.aspx?lang=en-US" TargetMode="External"/><Relationship Id="rId29" Type="http://schemas.openxmlformats.org/officeDocument/2006/relationships/hyperlink" Target="https://ohioemploymentfirst.org/view.php?nav_id=44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24" Type="http://schemas.openxmlformats.org/officeDocument/2006/relationships/hyperlink" Target="http://education.ohio.gov/getattachment/Topics/Special-Education/Federal-and-State-Requirements/Operational-Standards-and-Guidance/ODE-OEC-2012-1-Memorandum-Secondary-Transition-Requirements.pdf.aspx"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chart" Target="charts/chart5.xml"/><Relationship Id="rId23" Type="http://schemas.openxmlformats.org/officeDocument/2006/relationships/hyperlink" Target="https://ohioemploymentfirst.org/view.php?nav_id=7" TargetMode="External"/><Relationship Id="rId28" Type="http://schemas.openxmlformats.org/officeDocument/2006/relationships/hyperlink" Target="https://education.ohio.gov/getattachment/Topics/Chronic-Absenteeism/House-Bill-410-FAQ.pdf.aspx?lang=en-US" TargetMode="External"/><Relationship Id="rId10" Type="http://schemas.openxmlformats.org/officeDocument/2006/relationships/endnotes" Target="endnotes.xml"/><Relationship Id="rId19" Type="http://schemas.openxmlformats.org/officeDocument/2006/relationships/hyperlink" Target="https://ohioemploymentfirst.org/view.php?nav_id=6"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4.xml"/><Relationship Id="rId22" Type="http://schemas.openxmlformats.org/officeDocument/2006/relationships/hyperlink" Target="http://education.ohio.gov/getattachment/Topics/Special-Education/Improving-Educational-Experiences-and-Outcomes/EachChildMeansEachChild.pdf.aspx?lang=en-US" TargetMode="External"/><Relationship Id="rId27" Type="http://schemas.openxmlformats.org/officeDocument/2006/relationships/hyperlink" Target="https://codes.ohio.gov/ohio-revised-code/section-3313.617/9-29-2015" TargetMode="External"/><Relationship Id="rId30" Type="http://schemas.openxmlformats.org/officeDocument/2006/relationships/header" Target="header1.xm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https://ohiodas.sharepoint.com/sites/EDUOECDataTeam/Shared%20Documents/General/Annual%20Performance%20Report/Indicator%20Target%20Setting/Indicator%20Fact%20Sheets/Indicators%201,%202,%2014/Data/Indicator%2014%20Visualizations.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https://ohiodas.sharepoint.com/sites/EDUOECDataTeam/Shared%20Documents/General/Annual%20Performance%20Report/Indicator%20Target%20Setting/Indicator%20Fact%20Sheets/Indicators%201,%202,%2014/Data/Indicator%2014%20Visualizations.xlsx"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https://ohiodas.sharepoint.com/sites/EDUOECDataTeam/Shared%20Documents/General/Annual%20Performance%20Report/Indicator%20Target%20Setting/Indicator%20Fact%20Sheets/Indicators%201,%202,%2014/Data/Indicator%2014%20Visualizations.xlsx" TargetMode="Externa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https://ohiodas.sharepoint.com/sites/EDUOECDataTeam/Shared%20Documents/General/Annual%20Performance%20Report/Indicator%20Target%20Setting/Indicator%20Fact%20Sheets/Indicators%201,%202,%2014/Data/Indicator%2014%20Visualizations.xlsx" TargetMode="Externa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oleObject" Target="https://ohiodas.sharepoint.com/sites/EDUOECDataTeam/Shared%20Documents/General/Annual%20Performance%20Report/Indicator%20Target%20Setting/Indicator%20Fact%20Sheets/Indicators%201,%202,%2014/Data/Indicator%2014%20Visualizations.xlsx" TargetMode="External"/></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oleObject" Target="https://ohiodas.sharepoint.com/sites/EDUOECDataTeam/Shared%20Documents/General/Annual%20Performance%20Report/Indicator%20Target%20Setting/Indicator%20Fact%20Sheets/Indicators%201,%202,%2014/Data/Indicator%2014%20Visualization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100" b="1" i="0" u="none" strike="noStrike" kern="1200" spc="0" baseline="0">
                <a:solidFill>
                  <a:sysClr val="windowText" lastClr="000000"/>
                </a:solidFill>
                <a:latin typeface="Arial "/>
                <a:ea typeface="+mn-ea"/>
                <a:cs typeface="+mn-cs"/>
              </a:defRPr>
            </a:pPr>
            <a:r>
              <a:rPr lang="en-US" sz="1100" b="1"/>
              <a:t>14a: Higher Education</a:t>
            </a:r>
          </a:p>
        </c:rich>
      </c:tx>
      <c:overlay val="0"/>
      <c:spPr>
        <a:noFill/>
        <a:ln>
          <a:noFill/>
        </a:ln>
        <a:effectLst/>
      </c:spPr>
      <c:txPr>
        <a:bodyPr rot="0" spcFirstLastPara="1" vertOverflow="ellipsis" vert="horz" wrap="square" anchor="ctr" anchorCtr="1"/>
        <a:lstStyle/>
        <a:p>
          <a:pPr>
            <a:defRPr sz="1100" b="1" i="0" u="none" strike="noStrike" kern="1200" spc="0" baseline="0">
              <a:solidFill>
                <a:sysClr val="windowText" lastClr="000000"/>
              </a:solidFill>
              <a:latin typeface="Arial "/>
              <a:ea typeface="+mn-ea"/>
              <a:cs typeface="+mn-cs"/>
            </a:defRPr>
          </a:pPr>
          <a:endParaRPr lang="en-US"/>
        </a:p>
      </c:txPr>
    </c:title>
    <c:autoTitleDeleted val="0"/>
    <c:plotArea>
      <c:layout/>
      <c:lineChart>
        <c:grouping val="standard"/>
        <c:varyColors val="0"/>
        <c:ser>
          <c:idx val="0"/>
          <c:order val="0"/>
          <c:spPr>
            <a:ln w="28575" cap="rnd">
              <a:solidFill>
                <a:schemeClr val="tx1">
                  <a:lumMod val="65000"/>
                  <a:lumOff val="35000"/>
                </a:schemeClr>
              </a:solidFill>
              <a:round/>
            </a:ln>
            <a:effectLst/>
          </c:spPr>
          <c:marker>
            <c:symbol val="circle"/>
            <c:size val="5"/>
            <c:spPr>
              <a:solidFill>
                <a:schemeClr val="tx1">
                  <a:lumMod val="65000"/>
                  <a:lumOff val="35000"/>
                </a:schemeClr>
              </a:solidFill>
              <a:ln w="9525">
                <a:solidFill>
                  <a:schemeClr val="tx1">
                    <a:lumMod val="65000"/>
                    <a:lumOff val="35000"/>
                  </a:schemeClr>
                </a:solidFill>
              </a:ln>
              <a:effectLst/>
            </c:spPr>
          </c:marker>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Arial "/>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'14a'!$D$24:$I$24</c:f>
              <c:strCache>
                <c:ptCount val="6"/>
                <c:pt idx="0">
                  <c:v>2014-2015</c:v>
                </c:pt>
                <c:pt idx="1">
                  <c:v>2015-2016</c:v>
                </c:pt>
                <c:pt idx="2">
                  <c:v>2016-2017</c:v>
                </c:pt>
                <c:pt idx="3">
                  <c:v>2017-2018</c:v>
                </c:pt>
                <c:pt idx="4">
                  <c:v>2018-2019</c:v>
                </c:pt>
                <c:pt idx="5">
                  <c:v>2019-2020</c:v>
                </c:pt>
              </c:strCache>
            </c:strRef>
          </c:cat>
          <c:val>
            <c:numRef>
              <c:f>'14a'!$D$25:$I$25</c:f>
              <c:numCache>
                <c:formatCode>0.00%</c:formatCode>
                <c:ptCount val="6"/>
                <c:pt idx="0">
                  <c:v>0.29370000000000002</c:v>
                </c:pt>
                <c:pt idx="1">
                  <c:v>0.36449999999999999</c:v>
                </c:pt>
                <c:pt idx="2">
                  <c:v>0.28810000000000002</c:v>
                </c:pt>
                <c:pt idx="3">
                  <c:v>0.27529999999999999</c:v>
                </c:pt>
                <c:pt idx="4">
                  <c:v>0.2757</c:v>
                </c:pt>
                <c:pt idx="5">
                  <c:v>0.29680000000000001</c:v>
                </c:pt>
              </c:numCache>
            </c:numRef>
          </c:val>
          <c:smooth val="0"/>
          <c:extLst>
            <c:ext xmlns:c16="http://schemas.microsoft.com/office/drawing/2014/chart" uri="{C3380CC4-5D6E-409C-BE32-E72D297353CC}">
              <c16:uniqueId val="{00000000-5D82-4569-8152-CBCF126C18C1}"/>
            </c:ext>
          </c:extLst>
        </c:ser>
        <c:dLbls>
          <c:showLegendKey val="0"/>
          <c:showVal val="0"/>
          <c:showCatName val="0"/>
          <c:showSerName val="0"/>
          <c:showPercent val="0"/>
          <c:showBubbleSize val="0"/>
        </c:dLbls>
        <c:marker val="1"/>
        <c:smooth val="0"/>
        <c:axId val="1214439112"/>
        <c:axId val="1215442312"/>
      </c:lineChart>
      <c:catAx>
        <c:axId val="12144391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Arial "/>
                <a:ea typeface="+mn-ea"/>
                <a:cs typeface="+mn-cs"/>
              </a:defRPr>
            </a:pPr>
            <a:endParaRPr lang="en-US"/>
          </a:p>
        </c:txPr>
        <c:crossAx val="1215442312"/>
        <c:crosses val="autoZero"/>
        <c:auto val="1"/>
        <c:lblAlgn val="ctr"/>
        <c:lblOffset val="100"/>
        <c:noMultiLvlLbl val="0"/>
      </c:catAx>
      <c:valAx>
        <c:axId val="1215442312"/>
        <c:scaling>
          <c:orientation val="minMax"/>
        </c:scaling>
        <c:delete val="1"/>
        <c:axPos val="l"/>
        <c:numFmt formatCode="0.00%" sourceLinked="1"/>
        <c:majorTickMark val="none"/>
        <c:minorTickMark val="none"/>
        <c:tickLblPos val="nextTo"/>
        <c:crossAx val="121443911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100">
          <a:solidFill>
            <a:sysClr val="windowText" lastClr="000000"/>
          </a:solidFill>
          <a:latin typeface="Arial "/>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100" b="1"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en-US" sz="1100" b="1"/>
              <a:t>14a: Higher Education</a:t>
            </a:r>
          </a:p>
        </c:rich>
      </c:tx>
      <c:overlay val="0"/>
      <c:spPr>
        <a:noFill/>
        <a:ln>
          <a:noFill/>
        </a:ln>
        <a:effectLst/>
      </c:spPr>
      <c:txPr>
        <a:bodyPr rot="0" spcFirstLastPara="1" vertOverflow="ellipsis" vert="horz" wrap="square" anchor="ctr" anchorCtr="1"/>
        <a:lstStyle/>
        <a:p>
          <a:pPr>
            <a:defRPr sz="1100" b="1" i="0"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en-US"/>
        </a:p>
      </c:txPr>
    </c:title>
    <c:autoTitleDeleted val="0"/>
    <c:plotArea>
      <c:layout/>
      <c:barChart>
        <c:barDir val="col"/>
        <c:grouping val="clustered"/>
        <c:varyColors val="0"/>
        <c:ser>
          <c:idx val="1"/>
          <c:order val="1"/>
          <c:spPr>
            <a:pattFill prst="narHorz">
              <a:fgClr>
                <a:sysClr val="window" lastClr="FFFFFF"/>
              </a:fgClr>
              <a:bgClr>
                <a:srgbClr val="953735"/>
              </a:bgClr>
            </a:pattFill>
            <a:ln>
              <a:noFill/>
            </a:ln>
            <a:effectLst/>
          </c:spPr>
          <c:invertIfNegative val="0"/>
          <c:dPt>
            <c:idx val="0"/>
            <c:invertIfNegative val="0"/>
            <c:bubble3D val="0"/>
            <c:spPr>
              <a:pattFill prst="narHorz">
                <a:fgClr>
                  <a:sysClr val="window" lastClr="FFFFFF"/>
                </a:fgClr>
                <a:bgClr>
                  <a:srgbClr val="953735"/>
                </a:bgClr>
              </a:pattFill>
              <a:ln>
                <a:noFill/>
              </a:ln>
              <a:effectLst/>
            </c:spPr>
            <c:extLst>
              <c:ext xmlns:c16="http://schemas.microsoft.com/office/drawing/2014/chart" uri="{C3380CC4-5D6E-409C-BE32-E72D297353CC}">
                <c16:uniqueId val="{00000001-03B7-4394-B579-C95DF7801E64}"/>
              </c:ext>
            </c:extLst>
          </c:dPt>
          <c:dPt>
            <c:idx val="1"/>
            <c:invertIfNegative val="0"/>
            <c:bubble3D val="0"/>
            <c:spPr>
              <a:pattFill prst="narVert">
                <a:fgClr>
                  <a:sysClr val="window" lastClr="FFFFFF"/>
                </a:fgClr>
                <a:bgClr>
                  <a:srgbClr val="146401"/>
                </a:bgClr>
              </a:pattFill>
              <a:ln>
                <a:noFill/>
              </a:ln>
              <a:effectLst/>
            </c:spPr>
            <c:extLst>
              <c:ext xmlns:c16="http://schemas.microsoft.com/office/drawing/2014/chart" uri="{C3380CC4-5D6E-409C-BE32-E72D297353CC}">
                <c16:uniqueId val="{00000003-03B7-4394-B579-C95DF7801E64}"/>
              </c:ext>
            </c:extLst>
          </c:dPt>
          <c:dLbls>
            <c:spPr>
              <a:solidFill>
                <a:sysClr val="window" lastClr="FFFFFF"/>
              </a:solidFill>
              <a:ln>
                <a:noFill/>
              </a:ln>
              <a:effectLst/>
            </c:spPr>
            <c:txPr>
              <a:bodyPr rot="0" spcFirstLastPara="1" vertOverflow="ellipsis" vert="horz" wrap="square" anchor="ctr" anchorCtr="1"/>
              <a:lstStyle/>
              <a:p>
                <a:pPr>
                  <a:defRPr sz="11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'14a'!$D$1:$I$1</c:f>
              <c:strCache>
                <c:ptCount val="6"/>
                <c:pt idx="0">
                  <c:v>2014-2015</c:v>
                </c:pt>
                <c:pt idx="1">
                  <c:v>2015-2016</c:v>
                </c:pt>
                <c:pt idx="2">
                  <c:v>2016-2017</c:v>
                </c:pt>
                <c:pt idx="3">
                  <c:v>2017-2018</c:v>
                </c:pt>
                <c:pt idx="4">
                  <c:v>2018-2019</c:v>
                </c:pt>
                <c:pt idx="5">
                  <c:v>2019-2020</c:v>
                </c:pt>
              </c:strCache>
            </c:strRef>
          </c:cat>
          <c:val>
            <c:numRef>
              <c:f>'14a'!$D$3:$I$3</c:f>
              <c:numCache>
                <c:formatCode>0.00%</c:formatCode>
                <c:ptCount val="6"/>
                <c:pt idx="0">
                  <c:v>0.29370000000000002</c:v>
                </c:pt>
                <c:pt idx="1">
                  <c:v>0.36449999999999999</c:v>
                </c:pt>
                <c:pt idx="2">
                  <c:v>0.28810000000000002</c:v>
                </c:pt>
                <c:pt idx="3">
                  <c:v>0.27529999999999999</c:v>
                </c:pt>
                <c:pt idx="4">
                  <c:v>0.2757</c:v>
                </c:pt>
                <c:pt idx="5">
                  <c:v>0.29680000000000001</c:v>
                </c:pt>
              </c:numCache>
            </c:numRef>
          </c:val>
          <c:extLst>
            <c:ext xmlns:c16="http://schemas.microsoft.com/office/drawing/2014/chart" uri="{C3380CC4-5D6E-409C-BE32-E72D297353CC}">
              <c16:uniqueId val="{00000004-03B7-4394-B579-C95DF7801E64}"/>
            </c:ext>
          </c:extLst>
        </c:ser>
        <c:dLbls>
          <c:showLegendKey val="0"/>
          <c:showVal val="0"/>
          <c:showCatName val="0"/>
          <c:showSerName val="0"/>
          <c:showPercent val="0"/>
          <c:showBubbleSize val="0"/>
        </c:dLbls>
        <c:gapWidth val="219"/>
        <c:axId val="1964033344"/>
        <c:axId val="1964039168"/>
      </c:barChart>
      <c:lineChart>
        <c:grouping val="standard"/>
        <c:varyColors val="0"/>
        <c:ser>
          <c:idx val="0"/>
          <c:order val="0"/>
          <c:spPr>
            <a:ln w="28575" cap="rnd">
              <a:solidFill>
                <a:schemeClr val="tx1"/>
              </a:solidFill>
              <a:prstDash val="sysDot"/>
              <a:round/>
            </a:ln>
            <a:effectLst/>
          </c:spPr>
          <c:marker>
            <c:symbol val="circle"/>
            <c:size val="5"/>
            <c:spPr>
              <a:solidFill>
                <a:schemeClr val="tx1"/>
              </a:solidFill>
              <a:ln w="9525">
                <a:solidFill>
                  <a:schemeClr val="tx1"/>
                </a:solidFill>
                <a:prstDash val="sysDot"/>
              </a:ln>
              <a:effectLst/>
            </c:spPr>
          </c:marker>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'14a'!$D$1:$I$1</c:f>
              <c:strCache>
                <c:ptCount val="6"/>
                <c:pt idx="0">
                  <c:v>2014-2015</c:v>
                </c:pt>
                <c:pt idx="1">
                  <c:v>2015-2016</c:v>
                </c:pt>
                <c:pt idx="2">
                  <c:v>2016-2017</c:v>
                </c:pt>
                <c:pt idx="3">
                  <c:v>2017-2018</c:v>
                </c:pt>
                <c:pt idx="4">
                  <c:v>2018-2019</c:v>
                </c:pt>
                <c:pt idx="5">
                  <c:v>2019-2020</c:v>
                </c:pt>
              </c:strCache>
            </c:strRef>
          </c:cat>
          <c:val>
            <c:numRef>
              <c:f>'14a'!$D$2:$I$2</c:f>
              <c:numCache>
                <c:formatCode>0.00%</c:formatCode>
                <c:ptCount val="6"/>
                <c:pt idx="0">
                  <c:v>0.34799999999999998</c:v>
                </c:pt>
                <c:pt idx="1">
                  <c:v>0.34899999999999998</c:v>
                </c:pt>
                <c:pt idx="2">
                  <c:v>0.34899999999999998</c:v>
                </c:pt>
                <c:pt idx="3">
                  <c:v>0.35</c:v>
                </c:pt>
                <c:pt idx="4">
                  <c:v>0.39700000000000002</c:v>
                </c:pt>
                <c:pt idx="5">
                  <c:v>0.39700000000000002</c:v>
                </c:pt>
              </c:numCache>
            </c:numRef>
          </c:val>
          <c:smooth val="0"/>
          <c:extLst>
            <c:ext xmlns:c16="http://schemas.microsoft.com/office/drawing/2014/chart" uri="{C3380CC4-5D6E-409C-BE32-E72D297353CC}">
              <c16:uniqueId val="{00000005-03B7-4394-B579-C95DF7801E64}"/>
            </c:ext>
          </c:extLst>
        </c:ser>
        <c:dLbls>
          <c:showLegendKey val="0"/>
          <c:showVal val="0"/>
          <c:showCatName val="0"/>
          <c:showSerName val="0"/>
          <c:showPercent val="0"/>
          <c:showBubbleSize val="0"/>
        </c:dLbls>
        <c:marker val="1"/>
        <c:smooth val="0"/>
        <c:axId val="1964033344"/>
        <c:axId val="1964039168"/>
      </c:lineChart>
      <c:catAx>
        <c:axId val="19640333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1964039168"/>
        <c:crosses val="autoZero"/>
        <c:auto val="1"/>
        <c:lblAlgn val="ctr"/>
        <c:lblOffset val="100"/>
        <c:noMultiLvlLbl val="0"/>
      </c:catAx>
      <c:valAx>
        <c:axId val="1964039168"/>
        <c:scaling>
          <c:orientation val="minMax"/>
        </c:scaling>
        <c:delete val="1"/>
        <c:axPos val="l"/>
        <c:numFmt formatCode="0.00%" sourceLinked="1"/>
        <c:majorTickMark val="none"/>
        <c:minorTickMark val="none"/>
        <c:tickLblPos val="nextTo"/>
        <c:crossAx val="1964033344"/>
        <c:crosses val="autoZero"/>
        <c:crossBetween val="between"/>
      </c:valAx>
      <c:spPr>
        <a:noFill/>
        <a:ln>
          <a:noFill/>
        </a:ln>
        <a:effectLst/>
      </c:spPr>
    </c:plotArea>
    <c:plotVisOnly val="1"/>
    <c:dispBlanksAs val="gap"/>
    <c:showDLblsOverMax val="0"/>
    <c:extLst/>
  </c:chart>
  <c:spPr>
    <a:solidFill>
      <a:schemeClr val="bg1"/>
    </a:solidFill>
    <a:ln w="9525" cap="flat" cmpd="sng" algn="ctr">
      <a:noFill/>
      <a:round/>
    </a:ln>
    <a:effectLst/>
  </c:spPr>
  <c:txPr>
    <a:bodyPr/>
    <a:lstStyle/>
    <a:p>
      <a:pPr>
        <a:defRPr sz="1100">
          <a:solidFill>
            <a:sysClr val="windowText" lastClr="000000"/>
          </a:solidFill>
          <a:latin typeface="Arial" panose="020B0604020202020204" pitchFamily="34" charset="0"/>
          <a:cs typeface="Arial" panose="020B0604020202020204" pitchFamily="34" charset="0"/>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100" b="1" i="0" u="none" strike="noStrike" kern="1200" spc="0" baseline="0">
                <a:solidFill>
                  <a:sysClr val="windowText" lastClr="000000"/>
                </a:solidFill>
                <a:latin typeface="Arial "/>
                <a:ea typeface="+mn-ea"/>
                <a:cs typeface="+mn-cs"/>
              </a:defRPr>
            </a:pPr>
            <a:r>
              <a:rPr lang="en-US" sz="1100" b="1"/>
              <a:t>14b: Higher Education or Competitively Employed</a:t>
            </a:r>
          </a:p>
        </c:rich>
      </c:tx>
      <c:overlay val="0"/>
      <c:spPr>
        <a:noFill/>
        <a:ln>
          <a:noFill/>
        </a:ln>
        <a:effectLst/>
      </c:spPr>
      <c:txPr>
        <a:bodyPr rot="0" spcFirstLastPara="1" vertOverflow="ellipsis" vert="horz" wrap="square" anchor="ctr" anchorCtr="1"/>
        <a:lstStyle/>
        <a:p>
          <a:pPr>
            <a:defRPr sz="1100" b="1" i="0" u="none" strike="noStrike" kern="1200" spc="0" baseline="0">
              <a:solidFill>
                <a:sysClr val="windowText" lastClr="000000"/>
              </a:solidFill>
              <a:latin typeface="Arial "/>
              <a:ea typeface="+mn-ea"/>
              <a:cs typeface="+mn-cs"/>
            </a:defRPr>
          </a:pPr>
          <a:endParaRPr lang="en-US"/>
        </a:p>
      </c:txPr>
    </c:title>
    <c:autoTitleDeleted val="0"/>
    <c:plotArea>
      <c:layout/>
      <c:lineChart>
        <c:grouping val="standard"/>
        <c:varyColors val="0"/>
        <c:ser>
          <c:idx val="0"/>
          <c:order val="0"/>
          <c:spPr>
            <a:ln w="28575" cap="rnd">
              <a:solidFill>
                <a:schemeClr val="tx1">
                  <a:lumMod val="65000"/>
                  <a:lumOff val="35000"/>
                </a:schemeClr>
              </a:solidFill>
              <a:round/>
            </a:ln>
            <a:effectLst/>
          </c:spPr>
          <c:marker>
            <c:symbol val="circle"/>
            <c:size val="5"/>
            <c:spPr>
              <a:solidFill>
                <a:schemeClr val="tx1">
                  <a:lumMod val="65000"/>
                  <a:lumOff val="35000"/>
                </a:schemeClr>
              </a:solidFill>
              <a:ln w="9525">
                <a:solidFill>
                  <a:schemeClr val="tx1">
                    <a:lumMod val="65000"/>
                    <a:lumOff val="35000"/>
                  </a:schemeClr>
                </a:solidFill>
              </a:ln>
              <a:effectLst/>
            </c:spPr>
          </c:marker>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Arial "/>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'14b'!$D$24:$I$24</c:f>
              <c:strCache>
                <c:ptCount val="6"/>
                <c:pt idx="0">
                  <c:v>2014-2015</c:v>
                </c:pt>
                <c:pt idx="1">
                  <c:v>2015-2016</c:v>
                </c:pt>
                <c:pt idx="2">
                  <c:v>2016-2017</c:v>
                </c:pt>
                <c:pt idx="3">
                  <c:v>2017-2018</c:v>
                </c:pt>
                <c:pt idx="4">
                  <c:v>2018-2019</c:v>
                </c:pt>
                <c:pt idx="5">
                  <c:v>2019-2020</c:v>
                </c:pt>
              </c:strCache>
            </c:strRef>
          </c:cat>
          <c:val>
            <c:numRef>
              <c:f>'14b'!$D$25:$I$25</c:f>
              <c:numCache>
                <c:formatCode>0.00%</c:formatCode>
                <c:ptCount val="6"/>
                <c:pt idx="0">
                  <c:v>0.66549999999999998</c:v>
                </c:pt>
                <c:pt idx="1">
                  <c:v>0.7661</c:v>
                </c:pt>
                <c:pt idx="2">
                  <c:v>0.67490000000000006</c:v>
                </c:pt>
                <c:pt idx="3">
                  <c:v>0.70860000000000001</c:v>
                </c:pt>
                <c:pt idx="4">
                  <c:v>0.6452</c:v>
                </c:pt>
                <c:pt idx="5">
                  <c:v>0.79010000000000002</c:v>
                </c:pt>
              </c:numCache>
            </c:numRef>
          </c:val>
          <c:smooth val="0"/>
          <c:extLst>
            <c:ext xmlns:c16="http://schemas.microsoft.com/office/drawing/2014/chart" uri="{C3380CC4-5D6E-409C-BE32-E72D297353CC}">
              <c16:uniqueId val="{00000000-6DB8-4E53-B5D7-B53ED92FDFCD}"/>
            </c:ext>
          </c:extLst>
        </c:ser>
        <c:dLbls>
          <c:showLegendKey val="0"/>
          <c:showVal val="0"/>
          <c:showCatName val="0"/>
          <c:showSerName val="0"/>
          <c:showPercent val="0"/>
          <c:showBubbleSize val="0"/>
        </c:dLbls>
        <c:marker val="1"/>
        <c:smooth val="0"/>
        <c:axId val="1214439112"/>
        <c:axId val="1215442312"/>
      </c:lineChart>
      <c:catAx>
        <c:axId val="12144391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Arial "/>
                <a:ea typeface="+mn-ea"/>
                <a:cs typeface="+mn-cs"/>
              </a:defRPr>
            </a:pPr>
            <a:endParaRPr lang="en-US"/>
          </a:p>
        </c:txPr>
        <c:crossAx val="1215442312"/>
        <c:crosses val="autoZero"/>
        <c:auto val="1"/>
        <c:lblAlgn val="ctr"/>
        <c:lblOffset val="100"/>
        <c:noMultiLvlLbl val="0"/>
      </c:catAx>
      <c:valAx>
        <c:axId val="1215442312"/>
        <c:scaling>
          <c:orientation val="minMax"/>
        </c:scaling>
        <c:delete val="1"/>
        <c:axPos val="l"/>
        <c:numFmt formatCode="0.00%" sourceLinked="1"/>
        <c:majorTickMark val="none"/>
        <c:minorTickMark val="none"/>
        <c:tickLblPos val="nextTo"/>
        <c:crossAx val="121443911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100">
          <a:solidFill>
            <a:sysClr val="windowText" lastClr="000000"/>
          </a:solidFill>
          <a:latin typeface="Arial "/>
        </a:defRPr>
      </a:pPr>
      <a:endParaRPr lang="en-U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100" b="1"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en-US" sz="1100" b="1"/>
              <a:t>14b: Higher Education or Competitively Employed</a:t>
            </a:r>
          </a:p>
        </c:rich>
      </c:tx>
      <c:overlay val="0"/>
      <c:spPr>
        <a:noFill/>
        <a:ln>
          <a:noFill/>
        </a:ln>
        <a:effectLst/>
      </c:spPr>
      <c:txPr>
        <a:bodyPr rot="0" spcFirstLastPara="1" vertOverflow="ellipsis" vert="horz" wrap="square" anchor="ctr" anchorCtr="1"/>
        <a:lstStyle/>
        <a:p>
          <a:pPr>
            <a:defRPr sz="1100" b="1" i="0"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en-US"/>
        </a:p>
      </c:txPr>
    </c:title>
    <c:autoTitleDeleted val="0"/>
    <c:plotArea>
      <c:layout/>
      <c:barChart>
        <c:barDir val="col"/>
        <c:grouping val="clustered"/>
        <c:varyColors val="0"/>
        <c:ser>
          <c:idx val="1"/>
          <c:order val="1"/>
          <c:spPr>
            <a:pattFill prst="narHorz">
              <a:fgClr>
                <a:sysClr val="window" lastClr="FFFFFF"/>
              </a:fgClr>
              <a:bgClr>
                <a:srgbClr val="953735"/>
              </a:bgClr>
            </a:pattFill>
            <a:ln>
              <a:noFill/>
            </a:ln>
            <a:effectLst/>
          </c:spPr>
          <c:invertIfNegative val="0"/>
          <c:dPt>
            <c:idx val="0"/>
            <c:invertIfNegative val="0"/>
            <c:bubble3D val="0"/>
            <c:spPr>
              <a:pattFill prst="narHorz">
                <a:fgClr>
                  <a:sysClr val="window" lastClr="FFFFFF"/>
                </a:fgClr>
                <a:bgClr>
                  <a:srgbClr val="953735"/>
                </a:bgClr>
              </a:pattFill>
              <a:ln>
                <a:noFill/>
              </a:ln>
              <a:effectLst/>
            </c:spPr>
            <c:extLst>
              <c:ext xmlns:c16="http://schemas.microsoft.com/office/drawing/2014/chart" uri="{C3380CC4-5D6E-409C-BE32-E72D297353CC}">
                <c16:uniqueId val="{00000001-5D6E-461C-8BBE-BCE41B649488}"/>
              </c:ext>
            </c:extLst>
          </c:dPt>
          <c:dPt>
            <c:idx val="1"/>
            <c:invertIfNegative val="0"/>
            <c:bubble3D val="0"/>
            <c:spPr>
              <a:pattFill prst="narVert">
                <a:fgClr>
                  <a:sysClr val="window" lastClr="FFFFFF"/>
                </a:fgClr>
                <a:bgClr>
                  <a:srgbClr val="146401"/>
                </a:bgClr>
              </a:pattFill>
              <a:ln>
                <a:noFill/>
              </a:ln>
              <a:effectLst/>
            </c:spPr>
            <c:extLst>
              <c:ext xmlns:c16="http://schemas.microsoft.com/office/drawing/2014/chart" uri="{C3380CC4-5D6E-409C-BE32-E72D297353CC}">
                <c16:uniqueId val="{00000003-5D6E-461C-8BBE-BCE41B649488}"/>
              </c:ext>
            </c:extLst>
          </c:dPt>
          <c:dPt>
            <c:idx val="5"/>
            <c:invertIfNegative val="0"/>
            <c:bubble3D val="0"/>
            <c:spPr>
              <a:pattFill prst="narVert">
                <a:fgClr>
                  <a:sysClr val="window" lastClr="FFFFFF"/>
                </a:fgClr>
                <a:bgClr>
                  <a:srgbClr val="146401"/>
                </a:bgClr>
              </a:pattFill>
              <a:ln>
                <a:noFill/>
              </a:ln>
              <a:effectLst/>
            </c:spPr>
            <c:extLst>
              <c:ext xmlns:c16="http://schemas.microsoft.com/office/drawing/2014/chart" uri="{C3380CC4-5D6E-409C-BE32-E72D297353CC}">
                <c16:uniqueId val="{00000005-5D6E-461C-8BBE-BCE41B649488}"/>
              </c:ext>
            </c:extLst>
          </c:dPt>
          <c:dLbls>
            <c:spPr>
              <a:solidFill>
                <a:sysClr val="window" lastClr="FFFFFF"/>
              </a:solidFill>
              <a:ln>
                <a:noFill/>
              </a:ln>
              <a:effectLst/>
            </c:spPr>
            <c:txPr>
              <a:bodyPr rot="0" spcFirstLastPara="1" vertOverflow="ellipsis" vert="horz" wrap="square" anchor="ctr" anchorCtr="1"/>
              <a:lstStyle/>
              <a:p>
                <a:pPr>
                  <a:defRPr sz="11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'14b'!$D$1:$I$1</c:f>
              <c:strCache>
                <c:ptCount val="6"/>
                <c:pt idx="0">
                  <c:v>2014-2015</c:v>
                </c:pt>
                <c:pt idx="1">
                  <c:v>2015-2016</c:v>
                </c:pt>
                <c:pt idx="2">
                  <c:v>2016-2017</c:v>
                </c:pt>
                <c:pt idx="3">
                  <c:v>2017-2018</c:v>
                </c:pt>
                <c:pt idx="4">
                  <c:v>2018-2019</c:v>
                </c:pt>
                <c:pt idx="5">
                  <c:v>2019-2020</c:v>
                </c:pt>
              </c:strCache>
            </c:strRef>
          </c:cat>
          <c:val>
            <c:numRef>
              <c:f>'14b'!$D$3:$I$3</c:f>
              <c:numCache>
                <c:formatCode>0.00%</c:formatCode>
                <c:ptCount val="6"/>
                <c:pt idx="0">
                  <c:v>0.66549999999999998</c:v>
                </c:pt>
                <c:pt idx="1">
                  <c:v>0.7661</c:v>
                </c:pt>
                <c:pt idx="2">
                  <c:v>0.67490000000000006</c:v>
                </c:pt>
                <c:pt idx="3">
                  <c:v>0.70860000000000001</c:v>
                </c:pt>
                <c:pt idx="4">
                  <c:v>0.6452</c:v>
                </c:pt>
                <c:pt idx="5">
                  <c:v>0.79010000000000002</c:v>
                </c:pt>
              </c:numCache>
            </c:numRef>
          </c:val>
          <c:extLst>
            <c:ext xmlns:c16="http://schemas.microsoft.com/office/drawing/2014/chart" uri="{C3380CC4-5D6E-409C-BE32-E72D297353CC}">
              <c16:uniqueId val="{00000006-5D6E-461C-8BBE-BCE41B649488}"/>
            </c:ext>
          </c:extLst>
        </c:ser>
        <c:dLbls>
          <c:showLegendKey val="0"/>
          <c:showVal val="0"/>
          <c:showCatName val="0"/>
          <c:showSerName val="0"/>
          <c:showPercent val="0"/>
          <c:showBubbleSize val="0"/>
        </c:dLbls>
        <c:gapWidth val="219"/>
        <c:axId val="1964033344"/>
        <c:axId val="1964039168"/>
      </c:barChart>
      <c:lineChart>
        <c:grouping val="standard"/>
        <c:varyColors val="0"/>
        <c:ser>
          <c:idx val="0"/>
          <c:order val="0"/>
          <c:spPr>
            <a:ln w="28575" cap="rnd">
              <a:solidFill>
                <a:schemeClr val="tx1"/>
              </a:solidFill>
              <a:prstDash val="sysDot"/>
              <a:round/>
            </a:ln>
            <a:effectLst/>
          </c:spPr>
          <c:marker>
            <c:symbol val="circle"/>
            <c:size val="5"/>
            <c:spPr>
              <a:solidFill>
                <a:schemeClr val="tx1"/>
              </a:solidFill>
              <a:ln w="9525">
                <a:solidFill>
                  <a:schemeClr val="tx1"/>
                </a:solidFill>
                <a:prstDash val="sysDot"/>
              </a:ln>
              <a:effectLst/>
            </c:spPr>
          </c:marker>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'14b'!$D$1:$I$1</c:f>
              <c:strCache>
                <c:ptCount val="6"/>
                <c:pt idx="0">
                  <c:v>2014-2015</c:v>
                </c:pt>
                <c:pt idx="1">
                  <c:v>2015-2016</c:v>
                </c:pt>
                <c:pt idx="2">
                  <c:v>2016-2017</c:v>
                </c:pt>
                <c:pt idx="3">
                  <c:v>2017-2018</c:v>
                </c:pt>
                <c:pt idx="4">
                  <c:v>2018-2019</c:v>
                </c:pt>
                <c:pt idx="5">
                  <c:v>2019-2020</c:v>
                </c:pt>
              </c:strCache>
            </c:strRef>
          </c:cat>
          <c:val>
            <c:numRef>
              <c:f>'14b'!$D$2:$I$2</c:f>
              <c:numCache>
                <c:formatCode>0.00%</c:formatCode>
                <c:ptCount val="6"/>
                <c:pt idx="0">
                  <c:v>0.71</c:v>
                </c:pt>
                <c:pt idx="1">
                  <c:v>0.72</c:v>
                </c:pt>
                <c:pt idx="2">
                  <c:v>0.73</c:v>
                </c:pt>
                <c:pt idx="3">
                  <c:v>0.74</c:v>
                </c:pt>
                <c:pt idx="4">
                  <c:v>0.75</c:v>
                </c:pt>
                <c:pt idx="5">
                  <c:v>0.75</c:v>
                </c:pt>
              </c:numCache>
            </c:numRef>
          </c:val>
          <c:smooth val="0"/>
          <c:extLst>
            <c:ext xmlns:c16="http://schemas.microsoft.com/office/drawing/2014/chart" uri="{C3380CC4-5D6E-409C-BE32-E72D297353CC}">
              <c16:uniqueId val="{00000007-5D6E-461C-8BBE-BCE41B649488}"/>
            </c:ext>
          </c:extLst>
        </c:ser>
        <c:dLbls>
          <c:showLegendKey val="0"/>
          <c:showVal val="0"/>
          <c:showCatName val="0"/>
          <c:showSerName val="0"/>
          <c:showPercent val="0"/>
          <c:showBubbleSize val="0"/>
        </c:dLbls>
        <c:marker val="1"/>
        <c:smooth val="0"/>
        <c:axId val="1964033344"/>
        <c:axId val="1964039168"/>
      </c:lineChart>
      <c:catAx>
        <c:axId val="19640333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1964039168"/>
        <c:crosses val="autoZero"/>
        <c:auto val="1"/>
        <c:lblAlgn val="ctr"/>
        <c:lblOffset val="100"/>
        <c:noMultiLvlLbl val="0"/>
      </c:catAx>
      <c:valAx>
        <c:axId val="1964039168"/>
        <c:scaling>
          <c:orientation val="minMax"/>
        </c:scaling>
        <c:delete val="1"/>
        <c:axPos val="l"/>
        <c:numFmt formatCode="0.00%" sourceLinked="1"/>
        <c:majorTickMark val="none"/>
        <c:minorTickMark val="none"/>
        <c:tickLblPos val="nextTo"/>
        <c:crossAx val="1964033344"/>
        <c:crosses val="autoZero"/>
        <c:crossBetween val="between"/>
      </c:valAx>
      <c:spPr>
        <a:noFill/>
        <a:ln>
          <a:noFill/>
        </a:ln>
        <a:effectLst/>
      </c:spPr>
    </c:plotArea>
    <c:plotVisOnly val="1"/>
    <c:dispBlanksAs val="gap"/>
    <c:showDLblsOverMax val="0"/>
    <c:extLst/>
  </c:chart>
  <c:spPr>
    <a:solidFill>
      <a:schemeClr val="bg1"/>
    </a:solidFill>
    <a:ln w="9525" cap="flat" cmpd="sng" algn="ctr">
      <a:noFill/>
      <a:round/>
    </a:ln>
    <a:effectLst/>
  </c:spPr>
  <c:txPr>
    <a:bodyPr/>
    <a:lstStyle/>
    <a:p>
      <a:pPr>
        <a:defRPr sz="1100">
          <a:solidFill>
            <a:sysClr val="windowText" lastClr="000000"/>
          </a:solidFill>
          <a:latin typeface="Arial" panose="020B0604020202020204" pitchFamily="34" charset="0"/>
          <a:cs typeface="Arial" panose="020B0604020202020204" pitchFamily="34" charset="0"/>
        </a:defRPr>
      </a:pPr>
      <a:endParaRPr lang="en-US"/>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100" b="1" i="0" u="none" strike="noStrike" kern="1200" spc="0" baseline="0">
                <a:solidFill>
                  <a:sysClr val="windowText" lastClr="000000"/>
                </a:solidFill>
                <a:latin typeface="Arial "/>
                <a:ea typeface="+mn-ea"/>
                <a:cs typeface="+mn-cs"/>
              </a:defRPr>
            </a:pPr>
            <a:r>
              <a:rPr lang="en-US" sz="1100" b="1"/>
              <a:t>14c: Higher Education or Other Postsecondary Education or Training or Competitively Employed or Some Other Employment</a:t>
            </a:r>
          </a:p>
        </c:rich>
      </c:tx>
      <c:overlay val="0"/>
      <c:spPr>
        <a:noFill/>
        <a:ln>
          <a:noFill/>
        </a:ln>
        <a:effectLst/>
      </c:spPr>
      <c:txPr>
        <a:bodyPr rot="0" spcFirstLastPara="1" vertOverflow="ellipsis" vert="horz" wrap="square" anchor="ctr" anchorCtr="1"/>
        <a:lstStyle/>
        <a:p>
          <a:pPr>
            <a:defRPr sz="1100" b="1" i="0" u="none" strike="noStrike" kern="1200" spc="0" baseline="0">
              <a:solidFill>
                <a:sysClr val="windowText" lastClr="000000"/>
              </a:solidFill>
              <a:latin typeface="Arial "/>
              <a:ea typeface="+mn-ea"/>
              <a:cs typeface="+mn-cs"/>
            </a:defRPr>
          </a:pPr>
          <a:endParaRPr lang="en-US"/>
        </a:p>
      </c:txPr>
    </c:title>
    <c:autoTitleDeleted val="0"/>
    <c:plotArea>
      <c:layout/>
      <c:lineChart>
        <c:grouping val="standard"/>
        <c:varyColors val="0"/>
        <c:ser>
          <c:idx val="0"/>
          <c:order val="0"/>
          <c:spPr>
            <a:ln w="28575" cap="rnd">
              <a:solidFill>
                <a:schemeClr val="tx1">
                  <a:lumMod val="65000"/>
                  <a:lumOff val="35000"/>
                </a:schemeClr>
              </a:solidFill>
              <a:round/>
            </a:ln>
            <a:effectLst/>
          </c:spPr>
          <c:marker>
            <c:symbol val="circle"/>
            <c:size val="5"/>
            <c:spPr>
              <a:solidFill>
                <a:schemeClr val="tx1">
                  <a:lumMod val="65000"/>
                  <a:lumOff val="35000"/>
                </a:schemeClr>
              </a:solidFill>
              <a:ln w="9525">
                <a:solidFill>
                  <a:schemeClr val="tx1">
                    <a:lumMod val="65000"/>
                    <a:lumOff val="35000"/>
                  </a:schemeClr>
                </a:solidFill>
              </a:ln>
              <a:effectLst/>
            </c:spPr>
          </c:marker>
          <c:dLbls>
            <c:dLbl>
              <c:idx val="3"/>
              <c:layout>
                <c:manualLayout>
                  <c:x val="-5.3884045744281968E-2"/>
                  <c:y val="4.942147856517926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8482-47B3-8CEC-377537746B83}"/>
                </c:ext>
              </c:extLst>
            </c:dLbl>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Arial "/>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'14c'!$D$24:$I$24</c:f>
              <c:strCache>
                <c:ptCount val="6"/>
                <c:pt idx="0">
                  <c:v>2014-2015</c:v>
                </c:pt>
                <c:pt idx="1">
                  <c:v>2015-2016</c:v>
                </c:pt>
                <c:pt idx="2">
                  <c:v>2016-2017</c:v>
                </c:pt>
                <c:pt idx="3">
                  <c:v>2017-2018</c:v>
                </c:pt>
                <c:pt idx="4">
                  <c:v>2018-2019</c:v>
                </c:pt>
                <c:pt idx="5">
                  <c:v>2019-2020</c:v>
                </c:pt>
              </c:strCache>
            </c:strRef>
          </c:cat>
          <c:val>
            <c:numRef>
              <c:f>'14c'!$D$25:$I$25</c:f>
              <c:numCache>
                <c:formatCode>0.00%</c:formatCode>
                <c:ptCount val="6"/>
                <c:pt idx="0">
                  <c:v>0.81869999999999998</c:v>
                </c:pt>
                <c:pt idx="1">
                  <c:v>0.83950000000000002</c:v>
                </c:pt>
                <c:pt idx="2">
                  <c:v>0.83440000000000003</c:v>
                </c:pt>
                <c:pt idx="3">
                  <c:v>0.79490000000000005</c:v>
                </c:pt>
                <c:pt idx="4">
                  <c:v>0.84740000000000004</c:v>
                </c:pt>
                <c:pt idx="5">
                  <c:v>0.86350000000000005</c:v>
                </c:pt>
              </c:numCache>
            </c:numRef>
          </c:val>
          <c:smooth val="0"/>
          <c:extLst>
            <c:ext xmlns:c16="http://schemas.microsoft.com/office/drawing/2014/chart" uri="{C3380CC4-5D6E-409C-BE32-E72D297353CC}">
              <c16:uniqueId val="{00000000-8482-47B3-8CEC-377537746B83}"/>
            </c:ext>
          </c:extLst>
        </c:ser>
        <c:dLbls>
          <c:showLegendKey val="0"/>
          <c:showVal val="0"/>
          <c:showCatName val="0"/>
          <c:showSerName val="0"/>
          <c:showPercent val="0"/>
          <c:showBubbleSize val="0"/>
        </c:dLbls>
        <c:marker val="1"/>
        <c:smooth val="0"/>
        <c:axId val="1214439112"/>
        <c:axId val="1215442312"/>
      </c:lineChart>
      <c:catAx>
        <c:axId val="12144391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Arial "/>
                <a:ea typeface="+mn-ea"/>
                <a:cs typeface="+mn-cs"/>
              </a:defRPr>
            </a:pPr>
            <a:endParaRPr lang="en-US"/>
          </a:p>
        </c:txPr>
        <c:crossAx val="1215442312"/>
        <c:crosses val="autoZero"/>
        <c:auto val="1"/>
        <c:lblAlgn val="ctr"/>
        <c:lblOffset val="100"/>
        <c:noMultiLvlLbl val="0"/>
      </c:catAx>
      <c:valAx>
        <c:axId val="1215442312"/>
        <c:scaling>
          <c:orientation val="minMax"/>
        </c:scaling>
        <c:delete val="1"/>
        <c:axPos val="l"/>
        <c:numFmt formatCode="0.00%" sourceLinked="1"/>
        <c:majorTickMark val="none"/>
        <c:minorTickMark val="none"/>
        <c:tickLblPos val="nextTo"/>
        <c:crossAx val="121443911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100">
          <a:solidFill>
            <a:sysClr val="windowText" lastClr="000000"/>
          </a:solidFill>
          <a:latin typeface="Arial "/>
        </a:defRPr>
      </a:pPr>
      <a:endParaRPr lang="en-US"/>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100" b="1"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en-US" sz="1100" b="1"/>
              <a:t>14c: Higher Education or Other Postsecondary Education or Training or Competitively Employed or Some Other Employment</a:t>
            </a:r>
          </a:p>
        </c:rich>
      </c:tx>
      <c:overlay val="0"/>
      <c:spPr>
        <a:noFill/>
        <a:ln>
          <a:noFill/>
        </a:ln>
        <a:effectLst/>
      </c:spPr>
      <c:txPr>
        <a:bodyPr rot="0" spcFirstLastPara="1" vertOverflow="ellipsis" vert="horz" wrap="square" anchor="ctr" anchorCtr="1"/>
        <a:lstStyle/>
        <a:p>
          <a:pPr>
            <a:defRPr sz="1100" b="1" i="0"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en-US"/>
        </a:p>
      </c:txPr>
    </c:title>
    <c:autoTitleDeleted val="0"/>
    <c:plotArea>
      <c:layout/>
      <c:barChart>
        <c:barDir val="col"/>
        <c:grouping val="clustered"/>
        <c:varyColors val="0"/>
        <c:ser>
          <c:idx val="1"/>
          <c:order val="1"/>
          <c:spPr>
            <a:pattFill prst="narVert">
              <a:fgClr>
                <a:sysClr val="window" lastClr="FFFFFF"/>
              </a:fgClr>
              <a:bgClr>
                <a:srgbClr val="146401"/>
              </a:bgClr>
            </a:pattFill>
            <a:ln>
              <a:noFill/>
            </a:ln>
            <a:effectLst/>
          </c:spPr>
          <c:invertIfNegative val="0"/>
          <c:dPt>
            <c:idx val="0"/>
            <c:invertIfNegative val="0"/>
            <c:bubble3D val="0"/>
            <c:spPr>
              <a:pattFill prst="narVert">
                <a:fgClr>
                  <a:sysClr val="window" lastClr="FFFFFF"/>
                </a:fgClr>
                <a:bgClr>
                  <a:srgbClr val="146401"/>
                </a:bgClr>
              </a:pattFill>
              <a:ln>
                <a:noFill/>
              </a:ln>
              <a:effectLst/>
            </c:spPr>
            <c:extLst>
              <c:ext xmlns:c16="http://schemas.microsoft.com/office/drawing/2014/chart" uri="{C3380CC4-5D6E-409C-BE32-E72D297353CC}">
                <c16:uniqueId val="{00000001-1CF0-4F60-87E0-EE15AAC48559}"/>
              </c:ext>
            </c:extLst>
          </c:dPt>
          <c:dPt>
            <c:idx val="3"/>
            <c:invertIfNegative val="0"/>
            <c:bubble3D val="0"/>
            <c:spPr>
              <a:pattFill prst="narHorz">
                <a:fgClr>
                  <a:sysClr val="window" lastClr="FFFFFF"/>
                </a:fgClr>
                <a:bgClr>
                  <a:srgbClr val="953735"/>
                </a:bgClr>
              </a:pattFill>
              <a:ln>
                <a:noFill/>
              </a:ln>
              <a:effectLst/>
            </c:spPr>
            <c:extLst>
              <c:ext xmlns:c16="http://schemas.microsoft.com/office/drawing/2014/chart" uri="{C3380CC4-5D6E-409C-BE32-E72D297353CC}">
                <c16:uniqueId val="{00000003-1CF0-4F60-87E0-EE15AAC48559}"/>
              </c:ext>
            </c:extLst>
          </c:dPt>
          <c:dLbls>
            <c:spPr>
              <a:solidFill>
                <a:sysClr val="window" lastClr="FFFFFF"/>
              </a:solidFill>
              <a:ln>
                <a:noFill/>
              </a:ln>
              <a:effectLst/>
            </c:spPr>
            <c:txPr>
              <a:bodyPr rot="0" spcFirstLastPara="1" vertOverflow="ellipsis" vert="horz" wrap="square" anchor="ctr" anchorCtr="1"/>
              <a:lstStyle/>
              <a:p>
                <a:pPr>
                  <a:defRPr sz="11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'14c'!$D$1:$I$1</c:f>
              <c:strCache>
                <c:ptCount val="6"/>
                <c:pt idx="0">
                  <c:v>2014-2015</c:v>
                </c:pt>
                <c:pt idx="1">
                  <c:v>2015-2016</c:v>
                </c:pt>
                <c:pt idx="2">
                  <c:v>2016-2017</c:v>
                </c:pt>
                <c:pt idx="3">
                  <c:v>2017-2018</c:v>
                </c:pt>
                <c:pt idx="4">
                  <c:v>2018-2019</c:v>
                </c:pt>
                <c:pt idx="5">
                  <c:v>2019-2020</c:v>
                </c:pt>
              </c:strCache>
            </c:strRef>
          </c:cat>
          <c:val>
            <c:numRef>
              <c:f>'14c'!$D$3:$I$3</c:f>
              <c:numCache>
                <c:formatCode>0.00%</c:formatCode>
                <c:ptCount val="6"/>
                <c:pt idx="0">
                  <c:v>0.81869999999999998</c:v>
                </c:pt>
                <c:pt idx="1">
                  <c:v>0.83950000000000002</c:v>
                </c:pt>
                <c:pt idx="2">
                  <c:v>0.83440000000000003</c:v>
                </c:pt>
                <c:pt idx="3">
                  <c:v>0.79490000000000005</c:v>
                </c:pt>
                <c:pt idx="4">
                  <c:v>0.84740000000000004</c:v>
                </c:pt>
                <c:pt idx="5">
                  <c:v>0.86350000000000005</c:v>
                </c:pt>
              </c:numCache>
            </c:numRef>
          </c:val>
          <c:extLst>
            <c:ext xmlns:c16="http://schemas.microsoft.com/office/drawing/2014/chart" uri="{C3380CC4-5D6E-409C-BE32-E72D297353CC}">
              <c16:uniqueId val="{00000004-1CF0-4F60-87E0-EE15AAC48559}"/>
            </c:ext>
          </c:extLst>
        </c:ser>
        <c:dLbls>
          <c:showLegendKey val="0"/>
          <c:showVal val="0"/>
          <c:showCatName val="0"/>
          <c:showSerName val="0"/>
          <c:showPercent val="0"/>
          <c:showBubbleSize val="0"/>
        </c:dLbls>
        <c:gapWidth val="219"/>
        <c:axId val="1964033344"/>
        <c:axId val="1964039168"/>
      </c:barChart>
      <c:lineChart>
        <c:grouping val="standard"/>
        <c:varyColors val="0"/>
        <c:ser>
          <c:idx val="0"/>
          <c:order val="0"/>
          <c:spPr>
            <a:ln w="28575" cap="rnd">
              <a:solidFill>
                <a:schemeClr val="tx1"/>
              </a:solidFill>
              <a:prstDash val="sysDot"/>
              <a:round/>
            </a:ln>
            <a:effectLst/>
          </c:spPr>
          <c:marker>
            <c:symbol val="circle"/>
            <c:size val="5"/>
            <c:spPr>
              <a:solidFill>
                <a:schemeClr val="tx1"/>
              </a:solidFill>
              <a:ln w="9525">
                <a:solidFill>
                  <a:schemeClr val="tx1"/>
                </a:solidFill>
                <a:prstDash val="sysDot"/>
              </a:ln>
              <a:effectLst/>
            </c:spPr>
          </c:marker>
          <c:dLbls>
            <c:spPr>
              <a:solidFill>
                <a:sysClr val="window" lastClr="FFFFFF"/>
              </a:solid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'14c'!$D$1:$I$1</c:f>
              <c:strCache>
                <c:ptCount val="6"/>
                <c:pt idx="0">
                  <c:v>2014-2015</c:v>
                </c:pt>
                <c:pt idx="1">
                  <c:v>2015-2016</c:v>
                </c:pt>
                <c:pt idx="2">
                  <c:v>2016-2017</c:v>
                </c:pt>
                <c:pt idx="3">
                  <c:v>2017-2018</c:v>
                </c:pt>
                <c:pt idx="4">
                  <c:v>2018-2019</c:v>
                </c:pt>
                <c:pt idx="5">
                  <c:v>2019-2020</c:v>
                </c:pt>
              </c:strCache>
            </c:strRef>
          </c:cat>
          <c:val>
            <c:numRef>
              <c:f>'14c'!$D$2:$I$2</c:f>
              <c:numCache>
                <c:formatCode>0.00%</c:formatCode>
                <c:ptCount val="6"/>
                <c:pt idx="0">
                  <c:v>0.8</c:v>
                </c:pt>
                <c:pt idx="1">
                  <c:v>0.81</c:v>
                </c:pt>
                <c:pt idx="2">
                  <c:v>0.82</c:v>
                </c:pt>
                <c:pt idx="3">
                  <c:v>0.83</c:v>
                </c:pt>
                <c:pt idx="4">
                  <c:v>0.84</c:v>
                </c:pt>
                <c:pt idx="5">
                  <c:v>0.84</c:v>
                </c:pt>
              </c:numCache>
            </c:numRef>
          </c:val>
          <c:smooth val="0"/>
          <c:extLst>
            <c:ext xmlns:c16="http://schemas.microsoft.com/office/drawing/2014/chart" uri="{C3380CC4-5D6E-409C-BE32-E72D297353CC}">
              <c16:uniqueId val="{00000005-1CF0-4F60-87E0-EE15AAC48559}"/>
            </c:ext>
          </c:extLst>
        </c:ser>
        <c:dLbls>
          <c:showLegendKey val="0"/>
          <c:showVal val="0"/>
          <c:showCatName val="0"/>
          <c:showSerName val="0"/>
          <c:showPercent val="0"/>
          <c:showBubbleSize val="0"/>
        </c:dLbls>
        <c:marker val="1"/>
        <c:smooth val="0"/>
        <c:axId val="1964033344"/>
        <c:axId val="1964039168"/>
      </c:lineChart>
      <c:catAx>
        <c:axId val="19640333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1964039168"/>
        <c:crosses val="autoZero"/>
        <c:auto val="1"/>
        <c:lblAlgn val="ctr"/>
        <c:lblOffset val="100"/>
        <c:noMultiLvlLbl val="0"/>
      </c:catAx>
      <c:valAx>
        <c:axId val="1964039168"/>
        <c:scaling>
          <c:orientation val="minMax"/>
        </c:scaling>
        <c:delete val="1"/>
        <c:axPos val="l"/>
        <c:numFmt formatCode="0.00%" sourceLinked="1"/>
        <c:majorTickMark val="none"/>
        <c:minorTickMark val="none"/>
        <c:tickLblPos val="nextTo"/>
        <c:crossAx val="1964033344"/>
        <c:crosses val="autoZero"/>
        <c:crossBetween val="between"/>
      </c:valAx>
      <c:spPr>
        <a:noFill/>
        <a:ln>
          <a:noFill/>
        </a:ln>
        <a:effectLst/>
      </c:spPr>
    </c:plotArea>
    <c:plotVisOnly val="1"/>
    <c:dispBlanksAs val="gap"/>
    <c:showDLblsOverMax val="0"/>
    <c:extLst/>
  </c:chart>
  <c:spPr>
    <a:solidFill>
      <a:schemeClr val="bg1"/>
    </a:solidFill>
    <a:ln w="9525" cap="flat" cmpd="sng" algn="ctr">
      <a:noFill/>
      <a:round/>
    </a:ln>
    <a:effectLst/>
  </c:spPr>
  <c:txPr>
    <a:bodyPr/>
    <a:lstStyle/>
    <a:p>
      <a:pPr>
        <a:defRPr sz="1100">
          <a:solidFill>
            <a:sysClr val="windowText" lastClr="000000"/>
          </a:solidFill>
          <a:latin typeface="Arial" panose="020B0604020202020204" pitchFamily="34" charset="0"/>
          <a:cs typeface="Arial" panose="020B0604020202020204" pitchFamily="34" charset="0"/>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b30db70-af77-40f7-bcb7-3a1ec583ab9a">
      <UserInfo>
        <DisplayName>Oblak, Veronica</DisplayName>
        <AccountId>377</AccountId>
        <AccountType/>
      </UserInfo>
      <UserInfo>
        <DisplayName>Beard, Shelley</DisplayName>
        <AccountId>40</AccountId>
        <AccountType/>
      </UserInfo>
      <UserInfo>
        <DisplayName>Callahan, Parise</DisplayName>
        <AccountId>66</AccountId>
        <AccountType/>
      </UserInfo>
      <UserInfo>
        <DisplayName>Coston, Caroline</DisplayName>
        <AccountId>78</AccountId>
        <AccountType/>
      </UserInfo>
      <UserInfo>
        <DisplayName>Drvota, Monica</DisplayName>
        <AccountId>44</AccountId>
        <AccountType/>
      </UserInfo>
      <UserInfo>
        <DisplayName>Petrarca, Joseph</DisplayName>
        <AccountId>12</AccountId>
        <AccountType/>
      </UserInfo>
      <UserInfo>
        <DisplayName>Szymanski, Amy</DisplayName>
        <AccountId>128</AccountId>
        <AccountType/>
      </UserInfo>
      <UserInfo>
        <DisplayName>Brooks, Sarah</DisplayName>
        <AccountId>531</AccountId>
        <AccountType/>
      </UserInfo>
      <UserInfo>
        <DisplayName>Branner, Wendy</DisplayName>
        <AccountId>121</AccountId>
        <AccountType/>
      </UserInfo>
      <UserInfo>
        <DisplayName>Waldron, Kara</DisplayName>
        <AccountId>46</AccountId>
        <AccountType/>
      </UserInfo>
      <UserInfo>
        <DisplayName>Loesch, Matthew</DisplayName>
        <AccountId>305</AccountId>
        <AccountType/>
      </UserInfo>
      <UserInfo>
        <DisplayName>Odogwu, Michael</DisplayName>
        <AccountId>476</AccountId>
        <AccountType/>
      </UserInfo>
      <UserInfo>
        <DisplayName>esclew_aszy</DisplayName>
        <AccountId>245</AccountId>
        <AccountType/>
      </UserInfo>
      <UserInfo>
        <DisplayName>Baum, Rebecca</DisplayName>
        <AccountId>516</AccountId>
        <AccountType/>
      </UserInfo>
      <UserInfo>
        <DisplayName>Flowers, Megan</DisplayName>
        <AccountId>72</AccountId>
        <AccountType/>
      </UserInfo>
      <UserInfo>
        <DisplayName>Horowitz-Moore, Jessica</DisplayName>
        <AccountId>446</AccountId>
        <AccountType/>
      </UserInfo>
      <UserInfo>
        <DisplayName>Siddens, Stephanie</DisplayName>
        <AccountId>62</AccountId>
        <AccountType/>
      </UserInfo>
      <UserInfo>
        <DisplayName>Shields, Jessica</DisplayName>
        <AccountId>160</AccountId>
        <AccountType/>
      </UserInfo>
      <UserInfo>
        <DisplayName>Singh, Immy</DisplayName>
        <AccountId>187</AccountId>
        <AccountType/>
      </UserInfo>
      <UserInfo>
        <DisplayName>Ginn, Crystal</DisplayName>
        <AccountId>106</AccountId>
        <AccountType/>
      </UserInfo>
      <UserInfo>
        <DisplayName>Poindexter, Nikki</DisplayName>
        <AccountId>81</AccountId>
        <AccountType/>
      </UserInfo>
      <UserInfo>
        <DisplayName>Loomis, Diane</DisplayName>
        <AccountId>6</AccountId>
        <AccountType/>
      </UserInfo>
      <UserInfo>
        <DisplayName>Grove, Wendy</DisplayName>
        <AccountId>127</AccountId>
        <AccountType/>
      </UserInfo>
      <UserInfo>
        <DisplayName>Mcglone, Megan</DisplayName>
        <AccountId>495</AccountId>
        <AccountType/>
      </UserInfo>
      <UserInfo>
        <DisplayName>Ward, Jo Hannah</DisplayName>
        <AccountId>45</AccountId>
        <AccountType/>
      </UserInfo>
    </SharedWithUsers>
    <reviewed xmlns="64a641e3-aed5-4e35-8843-c4d9e14eafb2"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5C6273F30304947979A4DA2A3C86D4D" ma:contentTypeVersion="9" ma:contentTypeDescription="Create a new document." ma:contentTypeScope="" ma:versionID="fd3737be4f7864193dbc08ed3702df96">
  <xsd:schema xmlns:xsd="http://www.w3.org/2001/XMLSchema" xmlns:xs="http://www.w3.org/2001/XMLSchema" xmlns:p="http://schemas.microsoft.com/office/2006/metadata/properties" xmlns:ns2="64a641e3-aed5-4e35-8843-c4d9e14eafb2" xmlns:ns3="6b30db70-af77-40f7-bcb7-3a1ec583ab9a" targetNamespace="http://schemas.microsoft.com/office/2006/metadata/properties" ma:root="true" ma:fieldsID="51b72642bebf60a401f9ef3b3c8d982f" ns2:_="" ns3:_="">
    <xsd:import namespace="64a641e3-aed5-4e35-8843-c4d9e14eafb2"/>
    <xsd:import namespace="6b30db70-af77-40f7-bcb7-3a1ec583ab9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review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a641e3-aed5-4e35-8843-c4d9e14eaf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reviewed" ma:index="16" nillable="true" ma:displayName="reviewed" ma:format="Dropdown" ma:internalName="reviewe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30db70-af77-40f7-bcb7-3a1ec583ab9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B00D2C-D5AB-4D06-AF94-85A04D20AAB1}">
  <ds:schemaRefs>
    <ds:schemaRef ds:uri="http://schemas.openxmlformats.org/officeDocument/2006/bibliography"/>
  </ds:schemaRefs>
</ds:datastoreItem>
</file>

<file path=customXml/itemProps2.xml><?xml version="1.0" encoding="utf-8"?>
<ds:datastoreItem xmlns:ds="http://schemas.openxmlformats.org/officeDocument/2006/customXml" ds:itemID="{E79FF52F-1299-4C13-B4E8-C22B8772C3C5}">
  <ds:schemaRefs>
    <ds:schemaRef ds:uri="http://schemas.microsoft.com/sharepoint/v3/contenttype/forms"/>
  </ds:schemaRefs>
</ds:datastoreItem>
</file>

<file path=customXml/itemProps3.xml><?xml version="1.0" encoding="utf-8"?>
<ds:datastoreItem xmlns:ds="http://schemas.openxmlformats.org/officeDocument/2006/customXml" ds:itemID="{050762EF-8326-4F17-962E-753E4664F635}">
  <ds:schemaRefs>
    <ds:schemaRef ds:uri="http://schemas.microsoft.com/office/2006/metadata/properties"/>
    <ds:schemaRef ds:uri="http://schemas.microsoft.com/office/infopath/2007/PartnerControls"/>
    <ds:schemaRef ds:uri="6b30db70-af77-40f7-bcb7-3a1ec583ab9a"/>
    <ds:schemaRef ds:uri="64a641e3-aed5-4e35-8843-c4d9e14eafb2"/>
  </ds:schemaRefs>
</ds:datastoreItem>
</file>

<file path=customXml/itemProps4.xml><?xml version="1.0" encoding="utf-8"?>
<ds:datastoreItem xmlns:ds="http://schemas.openxmlformats.org/officeDocument/2006/customXml" ds:itemID="{7E0FAD75-3D5E-436A-A16C-73B76DE3A7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a641e3-aed5-4e35-8843-c4d9e14eafb2"/>
    <ds:schemaRef ds:uri="6b30db70-af77-40f7-bcb7-3a1ec583ab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1629</TotalTime>
  <Pages>13</Pages>
  <Words>4083</Words>
  <Characters>23279</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27308</CharactersWithSpaces>
  <SharedDoc>false</SharedDoc>
  <HLinks>
    <vt:vector size="78" baseType="variant">
      <vt:variant>
        <vt:i4>7340115</vt:i4>
      </vt:variant>
      <vt:variant>
        <vt:i4>90</vt:i4>
      </vt:variant>
      <vt:variant>
        <vt:i4>0</vt:i4>
      </vt:variant>
      <vt:variant>
        <vt:i4>5</vt:i4>
      </vt:variant>
      <vt:variant>
        <vt:lpwstr>https://ohioemploymentfirst.org/view.php?nav_id=441</vt:lpwstr>
      </vt:variant>
      <vt:variant>
        <vt:lpwstr/>
      </vt:variant>
      <vt:variant>
        <vt:i4>2687096</vt:i4>
      </vt:variant>
      <vt:variant>
        <vt:i4>87</vt:i4>
      </vt:variant>
      <vt:variant>
        <vt:i4>0</vt:i4>
      </vt:variant>
      <vt:variant>
        <vt:i4>5</vt:i4>
      </vt:variant>
      <vt:variant>
        <vt:lpwstr>https://education.ohio.gov/getattachment/Topics/Chronic-Absenteeism/House-Bill-410-FAQ.pdf.aspx?lang=en-US</vt:lpwstr>
      </vt:variant>
      <vt:variant>
        <vt:lpwstr/>
      </vt:variant>
      <vt:variant>
        <vt:i4>7602212</vt:i4>
      </vt:variant>
      <vt:variant>
        <vt:i4>84</vt:i4>
      </vt:variant>
      <vt:variant>
        <vt:i4>0</vt:i4>
      </vt:variant>
      <vt:variant>
        <vt:i4>5</vt:i4>
      </vt:variant>
      <vt:variant>
        <vt:lpwstr>https://codes.ohio.gov/ohio-revised-code/section-3313.617/9-29-2015</vt:lpwstr>
      </vt:variant>
      <vt:variant>
        <vt:lpwstr/>
      </vt:variant>
      <vt:variant>
        <vt:i4>7602212</vt:i4>
      </vt:variant>
      <vt:variant>
        <vt:i4>81</vt:i4>
      </vt:variant>
      <vt:variant>
        <vt:i4>0</vt:i4>
      </vt:variant>
      <vt:variant>
        <vt:i4>5</vt:i4>
      </vt:variant>
      <vt:variant>
        <vt:lpwstr>https://codes.ohio.gov/ohio-revised-code/section-3313.617/9-29-2015</vt:lpwstr>
      </vt:variant>
      <vt:variant>
        <vt:lpwstr/>
      </vt:variant>
      <vt:variant>
        <vt:i4>2621493</vt:i4>
      </vt:variant>
      <vt:variant>
        <vt:i4>78</vt:i4>
      </vt:variant>
      <vt:variant>
        <vt:i4>0</vt:i4>
      </vt:variant>
      <vt:variant>
        <vt:i4>5</vt:i4>
      </vt:variant>
      <vt:variant>
        <vt:lpwstr>http://education.ohio.gov/Topics/Ohio-s-Graduation-Requirements</vt:lpwstr>
      </vt:variant>
      <vt:variant>
        <vt:lpwstr/>
      </vt:variant>
      <vt:variant>
        <vt:i4>4128811</vt:i4>
      </vt:variant>
      <vt:variant>
        <vt:i4>75</vt:i4>
      </vt:variant>
      <vt:variant>
        <vt:i4>0</vt:i4>
      </vt:variant>
      <vt:variant>
        <vt:i4>5</vt:i4>
      </vt:variant>
      <vt:variant>
        <vt:lpwstr>http://education.ohio.gov/getattachment/Topics/Special-Education/Federal-and-State-Requirements/Operational-Standards-and-Guidance/ODE-OEC-2012-1-Memorandum-Secondary-Transition-Requirements.pdf.aspx</vt:lpwstr>
      </vt:variant>
      <vt:variant>
        <vt:lpwstr/>
      </vt:variant>
      <vt:variant>
        <vt:i4>4456551</vt:i4>
      </vt:variant>
      <vt:variant>
        <vt:i4>72</vt:i4>
      </vt:variant>
      <vt:variant>
        <vt:i4>0</vt:i4>
      </vt:variant>
      <vt:variant>
        <vt:i4>5</vt:i4>
      </vt:variant>
      <vt:variant>
        <vt:lpwstr>https://ohioemploymentfirst.org/view.php?nav_id=7</vt:lpwstr>
      </vt:variant>
      <vt:variant>
        <vt:lpwstr/>
      </vt:variant>
      <vt:variant>
        <vt:i4>6619240</vt:i4>
      </vt:variant>
      <vt:variant>
        <vt:i4>69</vt:i4>
      </vt:variant>
      <vt:variant>
        <vt:i4>0</vt:i4>
      </vt:variant>
      <vt:variant>
        <vt:i4>5</vt:i4>
      </vt:variant>
      <vt:variant>
        <vt:lpwstr>http://education.ohio.gov/getattachment/Topics/Special-Education/Improving-Educational-Experiences-and-Outcomes/EachChildMeansEachChild.pdf.aspx?lang=en-US</vt:lpwstr>
      </vt:variant>
      <vt:variant>
        <vt:lpwstr/>
      </vt:variant>
      <vt:variant>
        <vt:i4>3932197</vt:i4>
      </vt:variant>
      <vt:variant>
        <vt:i4>66</vt:i4>
      </vt:variant>
      <vt:variant>
        <vt:i4>0</vt:i4>
      </vt:variant>
      <vt:variant>
        <vt:i4>5</vt:i4>
      </vt:variant>
      <vt:variant>
        <vt:lpwstr>http://education.ohio.gov/Topics/Data/EMIS/SLDS-Grant-Project-3</vt:lpwstr>
      </vt:variant>
      <vt:variant>
        <vt:lpwstr/>
      </vt:variant>
      <vt:variant>
        <vt:i4>2555968</vt:i4>
      </vt:variant>
      <vt:variant>
        <vt:i4>63</vt:i4>
      </vt:variant>
      <vt:variant>
        <vt:i4>0</vt:i4>
      </vt:variant>
      <vt:variant>
        <vt:i4>5</vt:i4>
      </vt:variant>
      <vt:variant>
        <vt:lpwstr>http://education.ohio.gov/getattachment/Topics/Career-Tech/CTE-Performance-Data-and-Accountability/Perkins-Resources/Carl-D-Perkins-V-State-Plan/Perkins_V_State_Plan_FINAL_3_23_2020.pdf.aspx?lang=en-US</vt:lpwstr>
      </vt:variant>
      <vt:variant>
        <vt:lpwstr/>
      </vt:variant>
      <vt:variant>
        <vt:i4>4456551</vt:i4>
      </vt:variant>
      <vt:variant>
        <vt:i4>60</vt:i4>
      </vt:variant>
      <vt:variant>
        <vt:i4>0</vt:i4>
      </vt:variant>
      <vt:variant>
        <vt:i4>5</vt:i4>
      </vt:variant>
      <vt:variant>
        <vt:lpwstr>https://ohioemploymentfirst.org/view.php?nav_id=6</vt:lpwstr>
      </vt:variant>
      <vt:variant>
        <vt:lpwstr/>
      </vt:variant>
      <vt:variant>
        <vt:i4>196701</vt:i4>
      </vt:variant>
      <vt:variant>
        <vt:i4>57</vt:i4>
      </vt:variant>
      <vt:variant>
        <vt:i4>0</vt:i4>
      </vt:variant>
      <vt:variant>
        <vt:i4>5</vt:i4>
      </vt:variant>
      <vt:variant>
        <vt:lpwstr>http://education.ohio.gov/Topics/Special-Education/Special-Education-Data-and-Funding/District-Level-Performance-Data</vt:lpwstr>
      </vt:variant>
      <vt:variant>
        <vt:lpwstr/>
      </vt:variant>
      <vt:variant>
        <vt:i4>4849754</vt:i4>
      </vt:variant>
      <vt:variant>
        <vt:i4>54</vt:i4>
      </vt:variant>
      <vt:variant>
        <vt:i4>0</vt:i4>
      </vt:variant>
      <vt:variant>
        <vt:i4>5</vt:i4>
      </vt:variant>
      <vt:variant>
        <vt:lpwstr>https://secureservercdn.net/198.71.233.111/d25.2ac.myftpupload.com/wp-content/uploads/2018/11/11.8.18-Doe-Settlement.pdf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dc:creator>
  <cp:keywords/>
  <cp:lastModifiedBy>Rector, Ashley</cp:lastModifiedBy>
  <cp:revision>421</cp:revision>
  <cp:lastPrinted>2019-01-18T22:17:00Z</cp:lastPrinted>
  <dcterms:created xsi:type="dcterms:W3CDTF">2021-06-22T22:10:00Z</dcterms:created>
  <dcterms:modified xsi:type="dcterms:W3CDTF">2021-09-24T18:29:00Z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0x01010085C6273F30304947979A4DA2A3C86D4D</vt:lpwstr>
  </property>
  <property fmtid="{D5CDD505-2E9C-101B-9397-08002B2CF9AE}" pid="3" name="_dlc_DocIdItemGuid">
    <vt:lpwstr>2d79f8dd-5509-4d94-9ff5-049ce98bd56a</vt:lpwstr>
  </property>
  <property fmtid="{D5CDD505-2E9C-101B-9397-08002B2CF9AE}" pid="4" name="AuthorIds_UIVersion_4608">
    <vt:lpwstr>12</vt:lpwstr>
  </property>
  <property fmtid="{D5CDD505-2E9C-101B-9397-08002B2CF9AE}" pid="5" name="MSIP_Label_b320f288-ba83-4634-8624-b2a954eee516_Enabled">
    <vt:lpwstr>true</vt:lpwstr>
  </property>
  <property fmtid="{D5CDD505-2E9C-101B-9397-08002B2CF9AE}" pid="6" name="MSIP_Label_b320f288-ba83-4634-8624-b2a954eee516_SetDate">
    <vt:lpwstr>2021-05-02T13:21:47Z</vt:lpwstr>
  </property>
  <property fmtid="{D5CDD505-2E9C-101B-9397-08002B2CF9AE}" pid="7" name="MSIP_Label_b320f288-ba83-4634-8624-b2a954eee516_Method">
    <vt:lpwstr>Privileged</vt:lpwstr>
  </property>
  <property fmtid="{D5CDD505-2E9C-101B-9397-08002B2CF9AE}" pid="8" name="MSIP_Label_b320f288-ba83-4634-8624-b2a954eee516_Name">
    <vt:lpwstr>General</vt:lpwstr>
  </property>
  <property fmtid="{D5CDD505-2E9C-101B-9397-08002B2CF9AE}" pid="9" name="MSIP_Label_b320f288-ba83-4634-8624-b2a954eee516_SiteId">
    <vt:lpwstr>50f8fcc4-94d8-4f07-84eb-36ed57c7c8a2</vt:lpwstr>
  </property>
  <property fmtid="{D5CDD505-2E9C-101B-9397-08002B2CF9AE}" pid="10" name="MSIP_Label_b320f288-ba83-4634-8624-b2a954eee516_ActionId">
    <vt:lpwstr>6dc349f7-06dc-4c58-84a1-5c0d74dd979e</vt:lpwstr>
  </property>
  <property fmtid="{D5CDD505-2E9C-101B-9397-08002B2CF9AE}" pid="11" name="MSIP_Label_b320f288-ba83-4634-8624-b2a954eee516_ContentBits">
    <vt:lpwstr>0</vt:lpwstr>
  </property>
  <property fmtid="{D5CDD505-2E9C-101B-9397-08002B2CF9AE}" pid="12" name="Order">
    <vt:r8>66800</vt:r8>
  </property>
  <property fmtid="{D5CDD505-2E9C-101B-9397-08002B2CF9AE}" pid="13" name="xd_Signature">
    <vt:bool>false</vt:bool>
  </property>
  <property fmtid="{D5CDD505-2E9C-101B-9397-08002B2CF9AE}" pid="14" name="xd_ProgID">
    <vt:lpwstr/>
  </property>
  <property fmtid="{D5CDD505-2E9C-101B-9397-08002B2CF9AE}" pid="15" name="ComplianceAssetId">
    <vt:lpwstr/>
  </property>
  <property fmtid="{D5CDD505-2E9C-101B-9397-08002B2CF9AE}" pid="16" name="TemplateUrl">
    <vt:lpwstr/>
  </property>
  <property fmtid="{D5CDD505-2E9C-101B-9397-08002B2CF9AE}" pid="17" name="_ExtendedDescription">
    <vt:lpwstr/>
  </property>
</Properties>
</file>