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C0DC" w14:textId="7F461E3D" w:rsidR="00433198" w:rsidRDefault="003A4BF1" w:rsidP="00632D20">
      <w:pPr>
        <w:pStyle w:val="Heading1"/>
        <w:spacing w:after="0"/>
      </w:pPr>
      <w:r w:rsidRPr="00B554C4">
        <w:t xml:space="preserve">Indicator </w:t>
      </w:r>
      <w:r w:rsidR="00FB659D">
        <w:t>15</w:t>
      </w:r>
      <w:r w:rsidR="00433198">
        <w:t>: Resolution</w:t>
      </w:r>
      <w:r w:rsidR="00184C3C">
        <w:t xml:space="preserve"> Sessions</w:t>
      </w:r>
    </w:p>
    <w:p w14:paraId="5B2707F6" w14:textId="772A9E05" w:rsidR="00C268F3" w:rsidRDefault="00FB659D" w:rsidP="00632D20">
      <w:pPr>
        <w:pStyle w:val="Heading1"/>
        <w:spacing w:before="0"/>
      </w:pPr>
      <w:r>
        <w:t xml:space="preserve"> </w:t>
      </w:r>
      <w:r w:rsidR="00C4793D" w:rsidRPr="00B554C4">
        <w:t>Fact Sheet</w:t>
      </w:r>
    </w:p>
    <w:p w14:paraId="475FDCE0" w14:textId="19100E38" w:rsidR="00F81F73" w:rsidRDefault="000D1016" w:rsidP="00B25028">
      <w:pPr>
        <w:pStyle w:val="Heading2"/>
      </w:pPr>
      <w:r>
        <w:t>What does this indicator measure?</w:t>
      </w:r>
    </w:p>
    <w:p w14:paraId="45F6D604" w14:textId="39AFC1C6" w:rsidR="00FA135F" w:rsidRDefault="00FB659D" w:rsidP="00FA135F">
      <w:r>
        <w:t>Indicator 15 measures the percentage of hearing requests that went to resolution sessions that were resolved through resolution settlement agreements.</w:t>
      </w:r>
      <w:r w:rsidR="00FA135F" w:rsidRPr="00FA135F">
        <w:t xml:space="preserve"> </w:t>
      </w:r>
      <w:r w:rsidR="00FA135F">
        <w:t>To calculate indicator 15:</w:t>
      </w:r>
    </w:p>
    <w:p w14:paraId="297D2442" w14:textId="4B190148" w:rsidR="00FA135F" w:rsidRPr="005B13C4" w:rsidRDefault="00FA135F" w:rsidP="00FA135F">
      <w:pPr>
        <w:pStyle w:val="ListParagraph"/>
        <w:numPr>
          <w:ilvl w:val="0"/>
          <w:numId w:val="29"/>
        </w:numPr>
      </w:pPr>
      <w:bookmarkStart w:id="0" w:name="_Hlk83028922"/>
      <w:r>
        <w:t>Take the n</w:t>
      </w:r>
      <w:r w:rsidRPr="005B13C4">
        <w:t xml:space="preserve">umber of </w:t>
      </w:r>
      <w:r>
        <w:t xml:space="preserve">resolution sessions that were resolved through settlement </w:t>
      </w:r>
      <w:proofErr w:type="gramStart"/>
      <w:r>
        <w:t>agreements;</w:t>
      </w:r>
      <w:proofErr w:type="gramEnd"/>
      <w:r>
        <w:t xml:space="preserve"> </w:t>
      </w:r>
    </w:p>
    <w:p w14:paraId="40E4B26C" w14:textId="5AFDFA21" w:rsidR="00FA135F" w:rsidRPr="0023033C" w:rsidRDefault="00FA135F" w:rsidP="00FA135F">
      <w:pPr>
        <w:pStyle w:val="ListParagraph"/>
        <w:numPr>
          <w:ilvl w:val="0"/>
          <w:numId w:val="29"/>
        </w:numPr>
      </w:pPr>
      <w:r>
        <w:t xml:space="preserve">Divide that number by the total number of </w:t>
      </w:r>
      <w:proofErr w:type="gramStart"/>
      <w:r>
        <w:t>resolution</w:t>
      </w:r>
      <w:proofErr w:type="gramEnd"/>
      <w:r>
        <w:t xml:space="preserve"> sessions</w:t>
      </w:r>
      <w:r w:rsidR="00EE701C">
        <w:t>;</w:t>
      </w:r>
    </w:p>
    <w:p w14:paraId="209DA6CA" w14:textId="43F06F53" w:rsidR="00FA135F" w:rsidRDefault="00FA135F" w:rsidP="00FA135F">
      <w:pPr>
        <w:pStyle w:val="ListParagraph"/>
        <w:numPr>
          <w:ilvl w:val="0"/>
          <w:numId w:val="29"/>
        </w:numPr>
      </w:pPr>
      <w:r>
        <w:t>The result is the p</w:t>
      </w:r>
      <w:r w:rsidRPr="0023033C">
        <w:t xml:space="preserve">ercentage of </w:t>
      </w:r>
      <w:r>
        <w:t>resolution sessions that were resolved through settlement agreements.</w:t>
      </w:r>
    </w:p>
    <w:bookmarkEnd w:id="0"/>
    <w:p w14:paraId="001D6FCB" w14:textId="7A732E0B" w:rsidR="006D4413" w:rsidRDefault="006D4413" w:rsidP="006D4413">
      <w:pPr>
        <w:pStyle w:val="Heading2"/>
      </w:pPr>
      <w:r>
        <w:t>What are the data considerations?</w:t>
      </w:r>
    </w:p>
    <w:p w14:paraId="5111F6E8" w14:textId="77777777" w:rsidR="004F7CED" w:rsidRDefault="004F7CED" w:rsidP="004F7CED">
      <w:pPr>
        <w:pStyle w:val="Heading3"/>
      </w:pPr>
      <w:r w:rsidRPr="00152CA6">
        <w:t>Data Source</w:t>
      </w:r>
    </w:p>
    <w:p w14:paraId="1D21EED3" w14:textId="279005AC" w:rsidR="004F7CED" w:rsidRDefault="004F7CED" w:rsidP="004F7CED">
      <w:pPr>
        <w:rPr>
          <w:b/>
          <w:bCs/>
        </w:rPr>
      </w:pPr>
      <w:r>
        <w:t xml:space="preserve">Data collected under section 618 of the </w:t>
      </w:r>
      <w:r w:rsidR="00E5524E" w:rsidRPr="00E5524E">
        <w:t>Individuals with Disabilities Education Act</w:t>
      </w:r>
      <w:r>
        <w:t xml:space="preserve"> (</w:t>
      </w:r>
      <w:bookmarkStart w:id="1" w:name="_SG_141816d81bf64696b30adaa578c2871b"/>
      <w:bookmarkStart w:id="2" w:name="_SG_334f6d51c5db4cdfbc923db637e17e55"/>
      <w:bookmarkStart w:id="3" w:name="_SG_86ee0b1f8b394c6cb90649aa7f3f1aba"/>
      <w:r w:rsidRPr="00A93CEF">
        <w:rPr>
          <w:u w:color="800080"/>
        </w:rPr>
        <w:t>IDEA</w:t>
      </w:r>
      <w:bookmarkEnd w:id="1"/>
      <w:bookmarkEnd w:id="2"/>
      <w:bookmarkEnd w:id="3"/>
      <w:r>
        <w:t xml:space="preserve"> Part B Dispute Resolution Survey in the ED</w:t>
      </w:r>
      <w:r>
        <w:rPr>
          <w:i/>
          <w:iCs/>
        </w:rPr>
        <w:t>Facts</w:t>
      </w:r>
      <w:r>
        <w:t xml:space="preserve"> Metadata and Process System (EMAPS)).</w:t>
      </w:r>
    </w:p>
    <w:p w14:paraId="39D3CD26" w14:textId="71796968" w:rsidR="004F7CED" w:rsidRPr="006D4413" w:rsidRDefault="004F7CED" w:rsidP="004F7CED">
      <w:pPr>
        <w:pStyle w:val="Heading3"/>
      </w:pPr>
      <w:r w:rsidRPr="006D4413">
        <w:t>How has th</w:t>
      </w:r>
      <w:r w:rsidR="006A73D9">
        <w:t>is</w:t>
      </w:r>
      <w:r w:rsidRPr="006D4413">
        <w:t xml:space="preserve"> </w:t>
      </w:r>
      <w:r w:rsidR="00632D20">
        <w:t>I</w:t>
      </w:r>
      <w:r w:rsidRPr="006D4413">
        <w:t xml:space="preserve">ndicator </w:t>
      </w:r>
      <w:r w:rsidR="00EE701C">
        <w:t>C</w:t>
      </w:r>
      <w:r w:rsidRPr="006D4413">
        <w:t>hanged?</w:t>
      </w:r>
    </w:p>
    <w:p w14:paraId="2FBA6784" w14:textId="0D720300" w:rsidR="004F7CED" w:rsidRPr="004F7CED" w:rsidRDefault="004F7CED" w:rsidP="004F7CED">
      <w:r>
        <w:t>Indicator 15 has not changed.</w:t>
      </w:r>
    </w:p>
    <w:p w14:paraId="401C990D" w14:textId="0DCE02D7" w:rsidR="00881836" w:rsidRDefault="00881836" w:rsidP="00B25028">
      <w:pPr>
        <w:pStyle w:val="Heading2"/>
      </w:pPr>
      <w:r>
        <w:t>How has Ohio performed over time?</w:t>
      </w:r>
    </w:p>
    <w:p w14:paraId="65B7ED87" w14:textId="75AEC95D" w:rsidR="00F15EE9" w:rsidRDefault="00F15EE9" w:rsidP="00C60153">
      <w:pPr>
        <w:keepNext/>
        <w:jc w:val="center"/>
      </w:pPr>
      <w:r>
        <w:rPr>
          <w:noProof/>
        </w:rPr>
        <w:drawing>
          <wp:inline distT="0" distB="0" distL="0" distR="0" wp14:anchorId="4D6FF8F5" wp14:editId="2629D9B2">
            <wp:extent cx="6400800" cy="2286000"/>
            <wp:effectExtent l="0" t="0" r="0" b="0"/>
            <wp:docPr id="1" name="Chart 1" descr="Line graph showing Ohio's percentage of resolution sessions resolved through settlement agreements.">
              <a:extLst xmlns:a="http://schemas.openxmlformats.org/drawingml/2006/main">
                <a:ext uri="{FF2B5EF4-FFF2-40B4-BE49-F238E27FC236}">
                  <a16:creationId xmlns:a16="http://schemas.microsoft.com/office/drawing/2014/main" id="{8E1F7E8E-0532-459A-B876-82BA567C88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835E2E" w14:textId="596A040B" w:rsidR="00B25028" w:rsidRDefault="00C60153" w:rsidP="00EB796D">
      <w:pPr>
        <w:pStyle w:val="Caption"/>
      </w:pPr>
      <w:r>
        <w:t xml:space="preserve">Figure </w:t>
      </w:r>
      <w:r>
        <w:fldChar w:fldCharType="begin"/>
      </w:r>
      <w:r>
        <w:instrText>SEQ Figure \* ARABIC</w:instrText>
      </w:r>
      <w:r>
        <w:fldChar w:fldCharType="separate"/>
      </w:r>
      <w:r w:rsidR="003A3621">
        <w:rPr>
          <w:noProof/>
        </w:rPr>
        <w:t>1</w:t>
      </w:r>
      <w:r>
        <w:fldChar w:fldCharType="end"/>
      </w:r>
      <w:r w:rsidR="00EB796D">
        <w:t xml:space="preserve">. </w:t>
      </w:r>
      <w:r w:rsidR="00726941">
        <w:t>Ohio’s percentage of resolution sessions has decreased over time from 43.04% in 2014-</w:t>
      </w:r>
      <w:r w:rsidR="00EE701C">
        <w:t>20</w:t>
      </w:r>
      <w:r w:rsidR="00726941">
        <w:t>15 to 0% in 2019-</w:t>
      </w:r>
      <w:r w:rsidR="00EE701C">
        <w:t>20</w:t>
      </w:r>
      <w:r w:rsidR="00726941">
        <w:t>20.</w:t>
      </w:r>
      <w:r w:rsidR="00EB796D">
        <w:t xml:space="preserve"> </w:t>
      </w:r>
    </w:p>
    <w:p w14:paraId="799736E8" w14:textId="2B88C770" w:rsidR="00726941" w:rsidRPr="00726941" w:rsidRDefault="00726941" w:rsidP="00726941">
      <w:pPr>
        <w:pStyle w:val="Caption"/>
        <w:keepNext/>
      </w:pPr>
      <w:r>
        <w:t xml:space="preserve">Table </w:t>
      </w:r>
      <w:r>
        <w:fldChar w:fldCharType="begin"/>
      </w:r>
      <w:r>
        <w:instrText>SEQ Table \* ARABIC</w:instrText>
      </w:r>
      <w:r>
        <w:fldChar w:fldCharType="separate"/>
      </w:r>
      <w:r w:rsidR="007D64F6">
        <w:rPr>
          <w:noProof/>
        </w:rPr>
        <w:t>1</w:t>
      </w:r>
      <w:r>
        <w:fldChar w:fldCharType="end"/>
      </w:r>
      <w:r>
        <w:t>.</w:t>
      </w:r>
      <w:r w:rsidRPr="00726941">
        <w:t xml:space="preserve"> Number of resolution sessions resolved through settlement, total number of resolution sessions, percentage and change in percentage from 2014-</w:t>
      </w:r>
      <w:r w:rsidR="00EE701C">
        <w:t>20</w:t>
      </w:r>
      <w:r w:rsidRPr="00726941">
        <w:t>15 to 2019-</w:t>
      </w:r>
      <w:r w:rsidR="00EE701C">
        <w:t>20</w:t>
      </w:r>
      <w:r w:rsidRPr="00726941">
        <w:t>20.</w:t>
      </w:r>
    </w:p>
    <w:tbl>
      <w:tblPr>
        <w:tblStyle w:val="PlainTable1"/>
        <w:tblW w:w="0" w:type="auto"/>
        <w:tblLayout w:type="fixed"/>
        <w:tblLook w:val="04A0" w:firstRow="1" w:lastRow="0" w:firstColumn="1" w:lastColumn="0" w:noHBand="0" w:noVBand="1"/>
        <w:tblCaption w:val="Ohio's Resolution Sessions"/>
        <w:tblDescription w:val="Number of resolution sessions resolved through settlement, total number of resolution sessions, percentage, and change in percentage from 2014-15 to 2019-20."/>
      </w:tblPr>
      <w:tblGrid>
        <w:gridCol w:w="2785"/>
        <w:gridCol w:w="1334"/>
        <w:gridCol w:w="1334"/>
        <w:gridCol w:w="1334"/>
        <w:gridCol w:w="1334"/>
        <w:gridCol w:w="1334"/>
        <w:gridCol w:w="1335"/>
      </w:tblGrid>
      <w:tr w:rsidR="00354290" w:rsidRPr="00846D58" w14:paraId="5C6C78B1" w14:textId="77777777" w:rsidTr="00C31C5A">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785" w:type="dxa"/>
            <w:noWrap/>
            <w:hideMark/>
          </w:tcPr>
          <w:p w14:paraId="0116D853" w14:textId="2DF000C4" w:rsidR="00354290" w:rsidRPr="00354290" w:rsidRDefault="00726941" w:rsidP="00354290">
            <w:pPr>
              <w:spacing w:after="0"/>
              <w:jc w:val="center"/>
              <w:rPr>
                <w:rFonts w:eastAsia="Times New Roman" w:cs="Arial"/>
                <w:b w:val="0"/>
                <w:bCs w:val="0"/>
                <w:color w:val="000000"/>
              </w:rPr>
            </w:pPr>
            <w:bookmarkStart w:id="4" w:name="Title_Ind_15_Resolution_Sessions"/>
            <w:bookmarkEnd w:id="4"/>
            <w:r>
              <w:rPr>
                <w:rFonts w:eastAsia="Times New Roman" w:cs="Arial"/>
                <w:color w:val="000000"/>
              </w:rPr>
              <w:t>Indicator 15: Resolution Sessions</w:t>
            </w:r>
          </w:p>
        </w:tc>
        <w:tc>
          <w:tcPr>
            <w:tcW w:w="1334" w:type="dxa"/>
            <w:hideMark/>
          </w:tcPr>
          <w:p w14:paraId="647596E8" w14:textId="6FDE6375" w:rsidR="00354290" w:rsidRPr="00354290" w:rsidRDefault="00EE701C" w:rsidP="0035429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rPr>
              <w:t>20</w:t>
            </w:r>
            <w:r w:rsidR="00354290" w:rsidRPr="00354290">
              <w:rPr>
                <w:rFonts w:eastAsia="Times New Roman" w:cs="Arial"/>
              </w:rPr>
              <w:t>14-</w:t>
            </w:r>
            <w:r>
              <w:rPr>
                <w:rFonts w:eastAsia="Times New Roman" w:cs="Arial"/>
              </w:rPr>
              <w:t>20</w:t>
            </w:r>
            <w:r w:rsidR="00354290" w:rsidRPr="00354290">
              <w:rPr>
                <w:rFonts w:eastAsia="Times New Roman" w:cs="Arial"/>
              </w:rPr>
              <w:t>15</w:t>
            </w:r>
          </w:p>
        </w:tc>
        <w:tc>
          <w:tcPr>
            <w:tcW w:w="1334" w:type="dxa"/>
            <w:hideMark/>
          </w:tcPr>
          <w:p w14:paraId="0E2B2950" w14:textId="433E8BC3" w:rsidR="00354290" w:rsidRPr="00354290" w:rsidRDefault="00EE701C" w:rsidP="0035429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rPr>
              <w:t>20</w:t>
            </w:r>
            <w:r w:rsidR="00354290" w:rsidRPr="00354290">
              <w:rPr>
                <w:rFonts w:eastAsia="Times New Roman" w:cs="Arial"/>
              </w:rPr>
              <w:t>15-</w:t>
            </w:r>
            <w:r>
              <w:rPr>
                <w:rFonts w:eastAsia="Times New Roman" w:cs="Arial"/>
              </w:rPr>
              <w:t>20</w:t>
            </w:r>
            <w:r w:rsidR="00354290" w:rsidRPr="00354290">
              <w:rPr>
                <w:rFonts w:eastAsia="Times New Roman" w:cs="Arial"/>
              </w:rPr>
              <w:t>16</w:t>
            </w:r>
          </w:p>
        </w:tc>
        <w:tc>
          <w:tcPr>
            <w:tcW w:w="1334" w:type="dxa"/>
            <w:hideMark/>
          </w:tcPr>
          <w:p w14:paraId="28DC97A3" w14:textId="63C8DF7B" w:rsidR="00354290" w:rsidRPr="00354290" w:rsidRDefault="00EE701C" w:rsidP="0035429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rPr>
              <w:t>20</w:t>
            </w:r>
            <w:r w:rsidR="00354290" w:rsidRPr="00354290">
              <w:rPr>
                <w:rFonts w:eastAsia="Times New Roman" w:cs="Arial"/>
              </w:rPr>
              <w:t>16-</w:t>
            </w:r>
            <w:r>
              <w:rPr>
                <w:rFonts w:eastAsia="Times New Roman" w:cs="Arial"/>
              </w:rPr>
              <w:t>20</w:t>
            </w:r>
            <w:r w:rsidR="00354290" w:rsidRPr="00354290">
              <w:rPr>
                <w:rFonts w:eastAsia="Times New Roman" w:cs="Arial"/>
              </w:rPr>
              <w:t>17</w:t>
            </w:r>
          </w:p>
        </w:tc>
        <w:tc>
          <w:tcPr>
            <w:tcW w:w="1334" w:type="dxa"/>
            <w:hideMark/>
          </w:tcPr>
          <w:p w14:paraId="31B21D2F" w14:textId="36E8DF99" w:rsidR="00354290" w:rsidRPr="00354290" w:rsidRDefault="00EE701C" w:rsidP="0035429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rPr>
              <w:t>20</w:t>
            </w:r>
            <w:r w:rsidR="00354290" w:rsidRPr="00354290">
              <w:rPr>
                <w:rFonts w:eastAsia="Times New Roman" w:cs="Arial"/>
              </w:rPr>
              <w:t>17-</w:t>
            </w:r>
            <w:r>
              <w:rPr>
                <w:rFonts w:eastAsia="Times New Roman" w:cs="Arial"/>
              </w:rPr>
              <w:t>20</w:t>
            </w:r>
            <w:r w:rsidR="00354290" w:rsidRPr="00354290">
              <w:rPr>
                <w:rFonts w:eastAsia="Times New Roman" w:cs="Arial"/>
              </w:rPr>
              <w:t>18</w:t>
            </w:r>
          </w:p>
        </w:tc>
        <w:tc>
          <w:tcPr>
            <w:tcW w:w="1334" w:type="dxa"/>
            <w:hideMark/>
          </w:tcPr>
          <w:p w14:paraId="19166D2B" w14:textId="002AE655" w:rsidR="00354290" w:rsidRPr="00354290" w:rsidRDefault="00EE701C" w:rsidP="0035429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rPr>
              <w:t>20</w:t>
            </w:r>
            <w:r w:rsidR="00354290" w:rsidRPr="00354290">
              <w:rPr>
                <w:rFonts w:eastAsia="Times New Roman" w:cs="Arial"/>
              </w:rPr>
              <w:t>18-</w:t>
            </w:r>
            <w:r>
              <w:rPr>
                <w:rFonts w:eastAsia="Times New Roman" w:cs="Arial"/>
              </w:rPr>
              <w:t>20</w:t>
            </w:r>
            <w:r w:rsidR="00354290" w:rsidRPr="00354290">
              <w:rPr>
                <w:rFonts w:eastAsia="Times New Roman" w:cs="Arial"/>
              </w:rPr>
              <w:t>19</w:t>
            </w:r>
          </w:p>
        </w:tc>
        <w:tc>
          <w:tcPr>
            <w:tcW w:w="1335" w:type="dxa"/>
            <w:hideMark/>
          </w:tcPr>
          <w:p w14:paraId="0C66BCFA" w14:textId="33D97E39" w:rsidR="00354290" w:rsidRPr="00354290" w:rsidRDefault="00EE701C" w:rsidP="0035429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rPr>
              <w:t>20</w:t>
            </w:r>
            <w:r w:rsidR="00354290" w:rsidRPr="00354290">
              <w:rPr>
                <w:rFonts w:eastAsia="Times New Roman" w:cs="Arial"/>
              </w:rPr>
              <w:t>19-</w:t>
            </w:r>
            <w:r>
              <w:rPr>
                <w:rFonts w:eastAsia="Times New Roman" w:cs="Arial"/>
              </w:rPr>
              <w:t>20</w:t>
            </w:r>
            <w:r w:rsidR="00354290" w:rsidRPr="00354290">
              <w:rPr>
                <w:rFonts w:eastAsia="Times New Roman" w:cs="Arial"/>
              </w:rPr>
              <w:t>20</w:t>
            </w:r>
          </w:p>
        </w:tc>
      </w:tr>
      <w:tr w:rsidR="00354290" w:rsidRPr="00846D58" w14:paraId="669E3200" w14:textId="77777777" w:rsidTr="006704DA">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2785" w:type="dxa"/>
            <w:noWrap/>
            <w:hideMark/>
          </w:tcPr>
          <w:p w14:paraId="485F0F25" w14:textId="5706CEB0" w:rsidR="00354290" w:rsidRPr="00726941" w:rsidRDefault="00354290" w:rsidP="00354290">
            <w:pPr>
              <w:spacing w:after="0"/>
              <w:rPr>
                <w:rFonts w:eastAsia="Times New Roman" w:cs="Arial"/>
                <w:b w:val="0"/>
                <w:bCs w:val="0"/>
                <w:color w:val="000000"/>
              </w:rPr>
            </w:pPr>
            <w:r w:rsidRPr="00726941">
              <w:rPr>
                <w:rFonts w:eastAsia="Times New Roman" w:cs="Arial"/>
                <w:b w:val="0"/>
                <w:bCs w:val="0"/>
                <w:color w:val="000000"/>
              </w:rPr>
              <w:t xml:space="preserve">Resolution </w:t>
            </w:r>
            <w:r w:rsidR="00EE701C">
              <w:rPr>
                <w:rFonts w:eastAsia="Times New Roman" w:cs="Arial"/>
                <w:b w:val="0"/>
                <w:bCs w:val="0"/>
                <w:color w:val="000000"/>
              </w:rPr>
              <w:t>s</w:t>
            </w:r>
            <w:r w:rsidRPr="00726941">
              <w:rPr>
                <w:rFonts w:eastAsia="Times New Roman" w:cs="Arial"/>
                <w:b w:val="0"/>
                <w:bCs w:val="0"/>
                <w:color w:val="000000"/>
              </w:rPr>
              <w:t xml:space="preserve">essions </w:t>
            </w:r>
            <w:r w:rsidR="00EE701C">
              <w:rPr>
                <w:rFonts w:eastAsia="Times New Roman" w:cs="Arial"/>
                <w:b w:val="0"/>
                <w:bCs w:val="0"/>
                <w:color w:val="000000"/>
              </w:rPr>
              <w:t>r</w:t>
            </w:r>
            <w:r w:rsidRPr="00726941">
              <w:rPr>
                <w:rFonts w:eastAsia="Times New Roman" w:cs="Arial"/>
                <w:b w:val="0"/>
                <w:bCs w:val="0"/>
                <w:color w:val="000000"/>
              </w:rPr>
              <w:t xml:space="preserve">esolved through </w:t>
            </w:r>
            <w:r w:rsidR="00EE701C">
              <w:rPr>
                <w:rFonts w:eastAsia="Times New Roman" w:cs="Arial"/>
                <w:b w:val="0"/>
                <w:bCs w:val="0"/>
                <w:color w:val="000000"/>
              </w:rPr>
              <w:t>s</w:t>
            </w:r>
            <w:r w:rsidRPr="00726941">
              <w:rPr>
                <w:rFonts w:eastAsia="Times New Roman" w:cs="Arial"/>
                <w:b w:val="0"/>
                <w:bCs w:val="0"/>
                <w:color w:val="000000"/>
              </w:rPr>
              <w:t>ettlement</w:t>
            </w:r>
          </w:p>
        </w:tc>
        <w:tc>
          <w:tcPr>
            <w:tcW w:w="1334" w:type="dxa"/>
            <w:vAlign w:val="center"/>
            <w:hideMark/>
          </w:tcPr>
          <w:p w14:paraId="01D4C70D" w14:textId="77777777" w:rsidR="00354290" w:rsidRPr="00354290" w:rsidRDefault="00354290" w:rsidP="006704D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54290">
              <w:rPr>
                <w:rFonts w:eastAsia="Times New Roman" w:cs="Arial"/>
                <w:color w:val="000000"/>
              </w:rPr>
              <w:t>34</w:t>
            </w:r>
          </w:p>
        </w:tc>
        <w:tc>
          <w:tcPr>
            <w:tcW w:w="1334" w:type="dxa"/>
            <w:vAlign w:val="center"/>
            <w:hideMark/>
          </w:tcPr>
          <w:p w14:paraId="5AE4F192" w14:textId="452A5944" w:rsidR="00354290" w:rsidRPr="00FC0FE1" w:rsidRDefault="00354290" w:rsidP="006704D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354290">
              <w:rPr>
                <w:rFonts w:eastAsia="Times New Roman" w:cs="Arial"/>
                <w:color w:val="000000"/>
              </w:rPr>
              <w:t>35</w:t>
            </w:r>
          </w:p>
        </w:tc>
        <w:tc>
          <w:tcPr>
            <w:tcW w:w="1334" w:type="dxa"/>
            <w:vAlign w:val="center"/>
            <w:hideMark/>
          </w:tcPr>
          <w:p w14:paraId="1C14628F" w14:textId="77777777" w:rsidR="00354290" w:rsidRPr="00354290" w:rsidRDefault="00354290" w:rsidP="006704D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54290">
              <w:rPr>
                <w:rFonts w:eastAsia="Times New Roman" w:cs="Arial"/>
                <w:color w:val="000000"/>
              </w:rPr>
              <w:t>23</w:t>
            </w:r>
          </w:p>
        </w:tc>
        <w:tc>
          <w:tcPr>
            <w:tcW w:w="1334" w:type="dxa"/>
            <w:vAlign w:val="center"/>
            <w:hideMark/>
          </w:tcPr>
          <w:p w14:paraId="5515BD5F" w14:textId="77777777" w:rsidR="00354290" w:rsidRPr="00354290" w:rsidRDefault="00354290" w:rsidP="006704D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54290">
              <w:rPr>
                <w:rFonts w:eastAsia="Times New Roman" w:cs="Arial"/>
                <w:color w:val="000000"/>
              </w:rPr>
              <w:t>26</w:t>
            </w:r>
          </w:p>
        </w:tc>
        <w:tc>
          <w:tcPr>
            <w:tcW w:w="1334" w:type="dxa"/>
            <w:vAlign w:val="center"/>
            <w:hideMark/>
          </w:tcPr>
          <w:p w14:paraId="3E0ED2E8" w14:textId="77777777" w:rsidR="00354290" w:rsidRPr="00354290" w:rsidRDefault="00354290" w:rsidP="006704D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54290">
              <w:rPr>
                <w:rFonts w:eastAsia="Times New Roman" w:cs="Arial"/>
                <w:color w:val="000000"/>
              </w:rPr>
              <w:t>22</w:t>
            </w:r>
          </w:p>
        </w:tc>
        <w:tc>
          <w:tcPr>
            <w:tcW w:w="1335" w:type="dxa"/>
            <w:vAlign w:val="center"/>
            <w:hideMark/>
          </w:tcPr>
          <w:p w14:paraId="59BDEF9D" w14:textId="77777777" w:rsidR="00354290" w:rsidRPr="00354290" w:rsidRDefault="00354290" w:rsidP="006704D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54290">
              <w:rPr>
                <w:rFonts w:eastAsia="Times New Roman" w:cs="Arial"/>
                <w:color w:val="000000"/>
              </w:rPr>
              <w:t>0</w:t>
            </w:r>
          </w:p>
        </w:tc>
      </w:tr>
      <w:tr w:rsidR="00354290" w:rsidRPr="00846D58" w14:paraId="3B1BF35B" w14:textId="77777777" w:rsidTr="006704DA">
        <w:trPr>
          <w:cantSplit/>
          <w:trHeight w:val="432"/>
        </w:trPr>
        <w:tc>
          <w:tcPr>
            <w:cnfStyle w:val="001000000000" w:firstRow="0" w:lastRow="0" w:firstColumn="1" w:lastColumn="0" w:oddVBand="0" w:evenVBand="0" w:oddHBand="0" w:evenHBand="0" w:firstRowFirstColumn="0" w:firstRowLastColumn="0" w:lastRowFirstColumn="0" w:lastRowLastColumn="0"/>
            <w:tcW w:w="2785" w:type="dxa"/>
            <w:noWrap/>
            <w:hideMark/>
          </w:tcPr>
          <w:p w14:paraId="5DF10D47" w14:textId="7766E805" w:rsidR="00354290" w:rsidRPr="00726941" w:rsidRDefault="00354290" w:rsidP="00354290">
            <w:pPr>
              <w:spacing w:after="0"/>
              <w:rPr>
                <w:rFonts w:eastAsia="Times New Roman" w:cs="Arial"/>
                <w:b w:val="0"/>
                <w:bCs w:val="0"/>
                <w:color w:val="000000"/>
              </w:rPr>
            </w:pPr>
            <w:r w:rsidRPr="00726941">
              <w:rPr>
                <w:rFonts w:eastAsia="Times New Roman" w:cs="Arial"/>
                <w:b w:val="0"/>
                <w:bCs w:val="0"/>
                <w:color w:val="000000"/>
              </w:rPr>
              <w:t xml:space="preserve">Resolution </w:t>
            </w:r>
            <w:r w:rsidR="00EE701C">
              <w:rPr>
                <w:rFonts w:eastAsia="Times New Roman" w:cs="Arial"/>
                <w:b w:val="0"/>
                <w:bCs w:val="0"/>
                <w:color w:val="000000"/>
              </w:rPr>
              <w:t>s</w:t>
            </w:r>
            <w:r w:rsidRPr="00726941">
              <w:rPr>
                <w:rFonts w:eastAsia="Times New Roman" w:cs="Arial"/>
                <w:b w:val="0"/>
                <w:bCs w:val="0"/>
                <w:color w:val="000000"/>
              </w:rPr>
              <w:t>essions</w:t>
            </w:r>
          </w:p>
        </w:tc>
        <w:tc>
          <w:tcPr>
            <w:tcW w:w="1334" w:type="dxa"/>
            <w:vAlign w:val="center"/>
            <w:hideMark/>
          </w:tcPr>
          <w:p w14:paraId="0397507C" w14:textId="77777777" w:rsidR="00354290" w:rsidRPr="00354290" w:rsidRDefault="00354290" w:rsidP="006704D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54290">
              <w:rPr>
                <w:rFonts w:eastAsia="Times New Roman" w:cs="Arial"/>
                <w:color w:val="000000"/>
              </w:rPr>
              <w:t>79</w:t>
            </w:r>
          </w:p>
        </w:tc>
        <w:tc>
          <w:tcPr>
            <w:tcW w:w="1334" w:type="dxa"/>
            <w:vAlign w:val="center"/>
            <w:hideMark/>
          </w:tcPr>
          <w:p w14:paraId="5EF769E8" w14:textId="125E3C57" w:rsidR="00354290" w:rsidRPr="00FC0FE1" w:rsidRDefault="00354290" w:rsidP="006704D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354290">
              <w:rPr>
                <w:rFonts w:eastAsia="Times New Roman" w:cs="Arial"/>
                <w:color w:val="000000"/>
              </w:rPr>
              <w:t>70</w:t>
            </w:r>
          </w:p>
        </w:tc>
        <w:tc>
          <w:tcPr>
            <w:tcW w:w="1334" w:type="dxa"/>
            <w:vAlign w:val="center"/>
            <w:hideMark/>
          </w:tcPr>
          <w:p w14:paraId="54A6C059" w14:textId="77777777" w:rsidR="00354290" w:rsidRPr="00354290" w:rsidRDefault="00354290" w:rsidP="006704D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54290">
              <w:rPr>
                <w:rFonts w:eastAsia="Times New Roman" w:cs="Arial"/>
                <w:color w:val="000000"/>
              </w:rPr>
              <w:t>56</w:t>
            </w:r>
          </w:p>
        </w:tc>
        <w:tc>
          <w:tcPr>
            <w:tcW w:w="1334" w:type="dxa"/>
            <w:vAlign w:val="center"/>
            <w:hideMark/>
          </w:tcPr>
          <w:p w14:paraId="1C2DF2B9" w14:textId="77777777" w:rsidR="00354290" w:rsidRPr="00354290" w:rsidRDefault="00354290" w:rsidP="006704D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54290">
              <w:rPr>
                <w:rFonts w:eastAsia="Times New Roman" w:cs="Arial"/>
                <w:color w:val="000000"/>
              </w:rPr>
              <w:t>48</w:t>
            </w:r>
          </w:p>
        </w:tc>
        <w:tc>
          <w:tcPr>
            <w:tcW w:w="1334" w:type="dxa"/>
            <w:vAlign w:val="center"/>
            <w:hideMark/>
          </w:tcPr>
          <w:p w14:paraId="29C55543" w14:textId="77777777" w:rsidR="00354290" w:rsidRPr="00354290" w:rsidRDefault="00354290" w:rsidP="006704D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54290">
              <w:rPr>
                <w:rFonts w:eastAsia="Times New Roman" w:cs="Arial"/>
                <w:color w:val="000000"/>
              </w:rPr>
              <w:t>61</w:t>
            </w:r>
          </w:p>
        </w:tc>
        <w:tc>
          <w:tcPr>
            <w:tcW w:w="1335" w:type="dxa"/>
            <w:vAlign w:val="center"/>
            <w:hideMark/>
          </w:tcPr>
          <w:p w14:paraId="1264ABB5" w14:textId="77777777" w:rsidR="00354290" w:rsidRPr="00354290" w:rsidRDefault="00354290" w:rsidP="006704D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54290">
              <w:rPr>
                <w:rFonts w:eastAsia="Times New Roman" w:cs="Arial"/>
                <w:color w:val="000000"/>
              </w:rPr>
              <w:t>29</w:t>
            </w:r>
          </w:p>
        </w:tc>
      </w:tr>
      <w:tr w:rsidR="00846D58" w:rsidRPr="00846D58" w14:paraId="6CD644A9" w14:textId="77777777" w:rsidTr="006704D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785" w:type="dxa"/>
            <w:noWrap/>
            <w:hideMark/>
          </w:tcPr>
          <w:p w14:paraId="3A53B12B" w14:textId="77777777" w:rsidR="00354290" w:rsidRPr="00726941" w:rsidRDefault="00354290" w:rsidP="00354290">
            <w:pPr>
              <w:spacing w:after="0"/>
              <w:rPr>
                <w:rFonts w:eastAsia="Times New Roman" w:cs="Arial"/>
                <w:b w:val="0"/>
                <w:bCs w:val="0"/>
                <w:color w:val="000000"/>
              </w:rPr>
            </w:pPr>
            <w:r w:rsidRPr="00726941">
              <w:rPr>
                <w:rFonts w:eastAsia="Times New Roman" w:cs="Arial"/>
                <w:b w:val="0"/>
                <w:bCs w:val="0"/>
                <w:color w:val="000000"/>
              </w:rPr>
              <w:t>Percentage</w:t>
            </w:r>
          </w:p>
        </w:tc>
        <w:tc>
          <w:tcPr>
            <w:tcW w:w="1334" w:type="dxa"/>
            <w:noWrap/>
            <w:vAlign w:val="center"/>
            <w:hideMark/>
          </w:tcPr>
          <w:p w14:paraId="37C0808F" w14:textId="77777777" w:rsidR="00354290" w:rsidRPr="00354290" w:rsidRDefault="00354290" w:rsidP="006704D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54290">
              <w:rPr>
                <w:rFonts w:eastAsia="Times New Roman" w:cs="Arial"/>
                <w:color w:val="000000"/>
              </w:rPr>
              <w:t>43.04%</w:t>
            </w:r>
          </w:p>
        </w:tc>
        <w:tc>
          <w:tcPr>
            <w:tcW w:w="1334" w:type="dxa"/>
            <w:noWrap/>
            <w:vAlign w:val="center"/>
            <w:hideMark/>
          </w:tcPr>
          <w:p w14:paraId="6F10C1CB" w14:textId="481F0426" w:rsidR="00354290" w:rsidRPr="00354290" w:rsidRDefault="00354290" w:rsidP="006704D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54290">
              <w:rPr>
                <w:rFonts w:eastAsia="Times New Roman" w:cs="Arial"/>
                <w:color w:val="000000"/>
              </w:rPr>
              <w:t>50.00%</w:t>
            </w:r>
          </w:p>
        </w:tc>
        <w:tc>
          <w:tcPr>
            <w:tcW w:w="1334" w:type="dxa"/>
            <w:noWrap/>
            <w:vAlign w:val="center"/>
            <w:hideMark/>
          </w:tcPr>
          <w:p w14:paraId="70E76C66" w14:textId="77777777" w:rsidR="00354290" w:rsidRPr="00354290" w:rsidRDefault="00354290" w:rsidP="006704D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54290">
              <w:rPr>
                <w:rFonts w:eastAsia="Times New Roman" w:cs="Arial"/>
                <w:color w:val="000000"/>
              </w:rPr>
              <w:t>41.07%</w:t>
            </w:r>
          </w:p>
        </w:tc>
        <w:tc>
          <w:tcPr>
            <w:tcW w:w="1334" w:type="dxa"/>
            <w:noWrap/>
            <w:vAlign w:val="center"/>
            <w:hideMark/>
          </w:tcPr>
          <w:p w14:paraId="7936755E" w14:textId="77777777" w:rsidR="00354290" w:rsidRPr="00354290" w:rsidRDefault="00354290" w:rsidP="006704D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54290">
              <w:rPr>
                <w:rFonts w:eastAsia="Times New Roman" w:cs="Arial"/>
                <w:color w:val="000000"/>
              </w:rPr>
              <w:t>54.17%</w:t>
            </w:r>
          </w:p>
        </w:tc>
        <w:tc>
          <w:tcPr>
            <w:tcW w:w="1334" w:type="dxa"/>
            <w:noWrap/>
            <w:vAlign w:val="center"/>
            <w:hideMark/>
          </w:tcPr>
          <w:p w14:paraId="3941A224" w14:textId="77777777" w:rsidR="00354290" w:rsidRPr="00354290" w:rsidRDefault="00354290" w:rsidP="006704D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54290">
              <w:rPr>
                <w:rFonts w:eastAsia="Times New Roman" w:cs="Arial"/>
                <w:color w:val="000000"/>
              </w:rPr>
              <w:t>36.07%</w:t>
            </w:r>
          </w:p>
        </w:tc>
        <w:tc>
          <w:tcPr>
            <w:tcW w:w="1335" w:type="dxa"/>
            <w:noWrap/>
            <w:vAlign w:val="center"/>
            <w:hideMark/>
          </w:tcPr>
          <w:p w14:paraId="25F616D2" w14:textId="77777777" w:rsidR="00354290" w:rsidRPr="00354290" w:rsidRDefault="00354290" w:rsidP="006704D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54290">
              <w:rPr>
                <w:rFonts w:eastAsia="Times New Roman" w:cs="Arial"/>
                <w:color w:val="000000"/>
              </w:rPr>
              <w:t>0.00%</w:t>
            </w:r>
          </w:p>
        </w:tc>
      </w:tr>
      <w:tr w:rsidR="00354290" w:rsidRPr="00846D58" w14:paraId="42DDAD2C" w14:textId="77777777" w:rsidTr="006704DA">
        <w:trPr>
          <w:cantSplit/>
          <w:trHeight w:val="432"/>
        </w:trPr>
        <w:tc>
          <w:tcPr>
            <w:cnfStyle w:val="001000000000" w:firstRow="0" w:lastRow="0" w:firstColumn="1" w:lastColumn="0" w:oddVBand="0" w:evenVBand="0" w:oddHBand="0" w:evenHBand="0" w:firstRowFirstColumn="0" w:firstRowLastColumn="0" w:lastRowFirstColumn="0" w:lastRowLastColumn="0"/>
            <w:tcW w:w="2785" w:type="dxa"/>
            <w:noWrap/>
            <w:hideMark/>
          </w:tcPr>
          <w:p w14:paraId="73150772" w14:textId="46A6E758" w:rsidR="00354290" w:rsidRPr="00726941" w:rsidRDefault="00354290" w:rsidP="00354290">
            <w:pPr>
              <w:spacing w:after="0"/>
              <w:rPr>
                <w:rFonts w:eastAsia="Times New Roman" w:cs="Arial"/>
                <w:b w:val="0"/>
                <w:bCs w:val="0"/>
                <w:color w:val="000000"/>
              </w:rPr>
            </w:pPr>
            <w:r w:rsidRPr="00726941">
              <w:rPr>
                <w:rFonts w:eastAsia="Times New Roman" w:cs="Arial"/>
                <w:b w:val="0"/>
                <w:bCs w:val="0"/>
                <w:color w:val="000000"/>
              </w:rPr>
              <w:t xml:space="preserve">Change in </w:t>
            </w:r>
            <w:r w:rsidR="00EE701C">
              <w:rPr>
                <w:rFonts w:eastAsia="Times New Roman" w:cs="Arial"/>
                <w:b w:val="0"/>
                <w:bCs w:val="0"/>
                <w:color w:val="000000"/>
              </w:rPr>
              <w:t>p</w:t>
            </w:r>
            <w:r w:rsidRPr="00726941">
              <w:rPr>
                <w:rFonts w:eastAsia="Times New Roman" w:cs="Arial"/>
                <w:b w:val="0"/>
                <w:bCs w:val="0"/>
                <w:color w:val="000000"/>
              </w:rPr>
              <w:t>ercentage</w:t>
            </w:r>
          </w:p>
        </w:tc>
        <w:tc>
          <w:tcPr>
            <w:tcW w:w="1334" w:type="dxa"/>
            <w:vAlign w:val="center"/>
            <w:hideMark/>
          </w:tcPr>
          <w:p w14:paraId="08CB8A97" w14:textId="234FEC66" w:rsidR="00354290" w:rsidRPr="00354290" w:rsidRDefault="0089271F" w:rsidP="006704D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334" w:type="dxa"/>
            <w:vAlign w:val="center"/>
            <w:hideMark/>
          </w:tcPr>
          <w:p w14:paraId="0390852C" w14:textId="3BC1EEF0" w:rsidR="00354290" w:rsidRPr="00354290" w:rsidRDefault="00846D58" w:rsidP="006704D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00354290" w:rsidRPr="00354290">
              <w:rPr>
                <w:rFonts w:eastAsia="Times New Roman" w:cs="Arial"/>
                <w:color w:val="000000"/>
              </w:rPr>
              <w:t>6.96%</w:t>
            </w:r>
          </w:p>
        </w:tc>
        <w:tc>
          <w:tcPr>
            <w:tcW w:w="1334" w:type="dxa"/>
            <w:vAlign w:val="center"/>
            <w:hideMark/>
          </w:tcPr>
          <w:p w14:paraId="5A5192F1" w14:textId="77777777" w:rsidR="00354290" w:rsidRPr="00354290" w:rsidRDefault="00354290" w:rsidP="006704D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54290">
              <w:rPr>
                <w:rFonts w:eastAsia="Times New Roman" w:cs="Arial"/>
                <w:color w:val="000000"/>
              </w:rPr>
              <w:t>-8.93%</w:t>
            </w:r>
          </w:p>
        </w:tc>
        <w:tc>
          <w:tcPr>
            <w:tcW w:w="1334" w:type="dxa"/>
            <w:vAlign w:val="center"/>
            <w:hideMark/>
          </w:tcPr>
          <w:p w14:paraId="067F1CF8" w14:textId="7E7282F8" w:rsidR="00354290" w:rsidRPr="00354290" w:rsidRDefault="00846D58" w:rsidP="006704D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00354290" w:rsidRPr="00354290">
              <w:rPr>
                <w:rFonts w:eastAsia="Times New Roman" w:cs="Arial"/>
                <w:color w:val="000000"/>
              </w:rPr>
              <w:t>13.10%</w:t>
            </w:r>
          </w:p>
        </w:tc>
        <w:tc>
          <w:tcPr>
            <w:tcW w:w="1334" w:type="dxa"/>
            <w:vAlign w:val="center"/>
            <w:hideMark/>
          </w:tcPr>
          <w:p w14:paraId="5586FB68" w14:textId="77777777" w:rsidR="00354290" w:rsidRPr="00354290" w:rsidRDefault="00354290" w:rsidP="006704D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54290">
              <w:rPr>
                <w:rFonts w:eastAsia="Times New Roman" w:cs="Arial"/>
                <w:color w:val="000000"/>
              </w:rPr>
              <w:t>-18.10%</w:t>
            </w:r>
          </w:p>
        </w:tc>
        <w:tc>
          <w:tcPr>
            <w:tcW w:w="1335" w:type="dxa"/>
            <w:vAlign w:val="center"/>
            <w:hideMark/>
          </w:tcPr>
          <w:p w14:paraId="3667B028" w14:textId="77777777" w:rsidR="00354290" w:rsidRPr="00354290" w:rsidRDefault="00354290" w:rsidP="006704D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54290">
              <w:rPr>
                <w:rFonts w:eastAsia="Times New Roman" w:cs="Arial"/>
                <w:color w:val="000000"/>
              </w:rPr>
              <w:t>-36.07%</w:t>
            </w:r>
          </w:p>
        </w:tc>
      </w:tr>
    </w:tbl>
    <w:p w14:paraId="5EBE1736" w14:textId="6221AEE0" w:rsidR="00881836" w:rsidRDefault="00881836" w:rsidP="00B25028">
      <w:pPr>
        <w:pStyle w:val="Heading2"/>
      </w:pPr>
      <w:r>
        <w:lastRenderedPageBreak/>
        <w:t>How has Ohio performed in relation to the targets?</w:t>
      </w:r>
    </w:p>
    <w:p w14:paraId="585107D6" w14:textId="2FD37F21" w:rsidR="00A8692F" w:rsidRDefault="00A8692F" w:rsidP="00A8692F">
      <w:r>
        <w:t xml:space="preserve">The graphs below depict Ohio’s performance over time in relation to the state targets. </w:t>
      </w:r>
    </w:p>
    <w:p w14:paraId="5F1EB653" w14:textId="5E7F2E4C" w:rsidR="00A72589" w:rsidRDefault="00A8692F" w:rsidP="008F6B46">
      <w:pPr>
        <w:pStyle w:val="ListParagraph"/>
        <w:numPr>
          <w:ilvl w:val="0"/>
          <w:numId w:val="30"/>
        </w:numPr>
        <w:spacing w:after="60"/>
      </w:pPr>
      <w:r>
        <w:t xml:space="preserve">The bars in each graph indicate Ohio’s performance for each year. </w:t>
      </w:r>
      <w:r w:rsidR="00A72589">
        <w:t>Red bars with horizontal stripes mean Ohio did not meet the target for that year. Green bars with vertical stripes mean Ohio met the target for that year.</w:t>
      </w:r>
    </w:p>
    <w:p w14:paraId="0C1F55C4" w14:textId="706F3245" w:rsidR="00A8692F" w:rsidRDefault="00A8692F" w:rsidP="008F6B46">
      <w:pPr>
        <w:pStyle w:val="ListParagraph"/>
        <w:numPr>
          <w:ilvl w:val="0"/>
          <w:numId w:val="30"/>
        </w:numPr>
      </w:pPr>
      <w:r>
        <w:t>The dotted black line in each graph depicts the state target for each year</w:t>
      </w:r>
      <w:r w:rsidR="00957119">
        <w:t>.</w:t>
      </w:r>
    </w:p>
    <w:p w14:paraId="2929E9F1" w14:textId="48DC3235" w:rsidR="00A8692F" w:rsidRPr="00AF1DB9" w:rsidRDefault="00A8692F" w:rsidP="008F6B46">
      <w:pPr>
        <w:pStyle w:val="ListParagraph"/>
        <w:numPr>
          <w:ilvl w:val="0"/>
          <w:numId w:val="30"/>
        </w:numPr>
      </w:pPr>
      <w:r>
        <w:t xml:space="preserve">The table below each graph calculates the difference between the state target and Ohio’s performance. </w:t>
      </w:r>
    </w:p>
    <w:p w14:paraId="66D86BE9" w14:textId="1125D755" w:rsidR="00727C2F" w:rsidRDefault="00727C2F" w:rsidP="003A3621">
      <w:pPr>
        <w:keepNext/>
        <w:jc w:val="center"/>
      </w:pPr>
      <w:r>
        <w:rPr>
          <w:noProof/>
        </w:rPr>
        <w:drawing>
          <wp:inline distT="0" distB="0" distL="0" distR="0" wp14:anchorId="73C293D2" wp14:editId="67365AF5">
            <wp:extent cx="6400800" cy="2103120"/>
            <wp:effectExtent l="0" t="0" r="0" b="0"/>
            <wp:docPr id="2" name="Chart 2" descr="Combination graph showing percentage difference between the state target and Ohio's resolution sessions resolved through settlement agreements.">
              <a:extLst xmlns:a="http://schemas.openxmlformats.org/drawingml/2006/main">
                <a:ext uri="{FF2B5EF4-FFF2-40B4-BE49-F238E27FC236}">
                  <a16:creationId xmlns:a16="http://schemas.microsoft.com/office/drawing/2014/main" id="{EF76106A-B3C9-4014-8419-0F5BAEEAD7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E0B6B7" w14:textId="4A71EEBD" w:rsidR="00CF4E24" w:rsidRDefault="003A3621" w:rsidP="005440E2">
      <w:pPr>
        <w:pStyle w:val="Caption"/>
      </w:pPr>
      <w:r>
        <w:t xml:space="preserve">Figure </w:t>
      </w:r>
      <w:r>
        <w:fldChar w:fldCharType="begin"/>
      </w:r>
      <w:r>
        <w:instrText>SEQ Figure \* ARABIC</w:instrText>
      </w:r>
      <w:r>
        <w:fldChar w:fldCharType="separate"/>
      </w:r>
      <w:r>
        <w:rPr>
          <w:noProof/>
        </w:rPr>
        <w:t>2</w:t>
      </w:r>
      <w:r>
        <w:fldChar w:fldCharType="end"/>
      </w:r>
      <w:r>
        <w:t xml:space="preserve">. </w:t>
      </w:r>
      <w:r w:rsidR="005635A0">
        <w:t xml:space="preserve">Ohio met the target for the percentage of resolution sessions resolved through settlement agreements </w:t>
      </w:r>
      <w:r w:rsidR="005440E2">
        <w:t>in 2014-</w:t>
      </w:r>
      <w:r w:rsidR="00F17185">
        <w:t>20</w:t>
      </w:r>
      <w:r w:rsidR="005440E2">
        <w:t>15 through 2017-</w:t>
      </w:r>
      <w:r w:rsidR="00F17185">
        <w:t>20</w:t>
      </w:r>
      <w:r w:rsidR="005440E2">
        <w:t xml:space="preserve">18 but did not </w:t>
      </w:r>
      <w:r w:rsidR="00A23F37">
        <w:t>meet</w:t>
      </w:r>
      <w:r w:rsidR="005440E2">
        <w:t xml:space="preserve"> the target in 2018-</w:t>
      </w:r>
      <w:r w:rsidR="00F17185">
        <w:t>20</w:t>
      </w:r>
      <w:r w:rsidR="005440E2">
        <w:t>19 or 2019-</w:t>
      </w:r>
      <w:r w:rsidR="00F17185">
        <w:t>20</w:t>
      </w:r>
      <w:r w:rsidR="005440E2">
        <w:t>20.</w:t>
      </w:r>
    </w:p>
    <w:p w14:paraId="0FC87B01" w14:textId="05CBCBC8" w:rsidR="003A3621" w:rsidRDefault="003A3621" w:rsidP="003A3621">
      <w:pPr>
        <w:pStyle w:val="Caption"/>
        <w:keepNext/>
      </w:pPr>
      <w:r>
        <w:t xml:space="preserve">Table </w:t>
      </w:r>
      <w:r>
        <w:fldChar w:fldCharType="begin"/>
      </w:r>
      <w:r>
        <w:instrText>SEQ Table \* ARABIC</w:instrText>
      </w:r>
      <w:r>
        <w:fldChar w:fldCharType="separate"/>
      </w:r>
      <w:r w:rsidR="007D64F6">
        <w:rPr>
          <w:noProof/>
        </w:rPr>
        <w:t>2</w:t>
      </w:r>
      <w:r>
        <w:fldChar w:fldCharType="end"/>
      </w:r>
      <w:r>
        <w:t>. Percentage difference between the state target and Ohio’s dropout rate for students with disabilities.</w:t>
      </w:r>
      <w:r w:rsidR="00B16C89" w:rsidRPr="00B16C89">
        <w:t xml:space="preserve"> </w:t>
      </w:r>
      <w:r w:rsidR="00B16C89">
        <w:t xml:space="preserve">The goal for indicator 15 is to be at or above the lower </w:t>
      </w:r>
      <w:r w:rsidR="00F20E1F">
        <w:t>end</w:t>
      </w:r>
      <w:r w:rsidR="00B16C89">
        <w:t xml:space="preserve"> of the target</w:t>
      </w:r>
      <w:r w:rsidR="00F20E1F">
        <w:t xml:space="preserve"> range</w:t>
      </w:r>
      <w:r w:rsidR="00B16C89">
        <w:t>. Positive difference numbers indicate the state was above the target for that year and met the target. Negative difference numbers indicate the state was below the target for that year and did not meet the target.</w:t>
      </w:r>
    </w:p>
    <w:tbl>
      <w:tblPr>
        <w:tblStyle w:val="PlainTable1"/>
        <w:tblW w:w="5000" w:type="pct"/>
        <w:tblLook w:val="04A0" w:firstRow="1" w:lastRow="0" w:firstColumn="1" w:lastColumn="0" w:noHBand="0" w:noVBand="1"/>
        <w:tblCaption w:val="Percentage Difference Between State Target &amp; Ohio's Performance"/>
        <w:tblDescription w:val="Percentage difference between the state target and Ohio's resolution sessions resolved through settlement agreements."/>
      </w:tblPr>
      <w:tblGrid>
        <w:gridCol w:w="2515"/>
        <w:gridCol w:w="1380"/>
        <w:gridCol w:w="1379"/>
        <w:gridCol w:w="1379"/>
        <w:gridCol w:w="1379"/>
        <w:gridCol w:w="1379"/>
        <w:gridCol w:w="1379"/>
      </w:tblGrid>
      <w:tr w:rsidR="000676A3" w:rsidRPr="006D4413" w14:paraId="69F4BA70" w14:textId="77777777" w:rsidTr="006F31E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pct"/>
          </w:tcPr>
          <w:p w14:paraId="4C35FCAB" w14:textId="694AD38B" w:rsidR="000676A3" w:rsidRPr="003A3621" w:rsidRDefault="000676A3" w:rsidP="006D4413">
            <w:pPr>
              <w:spacing w:after="0"/>
              <w:contextualSpacing/>
              <w:jc w:val="center"/>
            </w:pPr>
            <w:bookmarkStart w:id="5" w:name="Title_Percentage_Difference_Resolution"/>
            <w:bookmarkStart w:id="6" w:name="Title_Previous_Target_Ranges"/>
            <w:bookmarkEnd w:id="5"/>
            <w:bookmarkEnd w:id="6"/>
            <w:r w:rsidRPr="003A3621">
              <w:t>Data Year</w:t>
            </w:r>
          </w:p>
        </w:tc>
        <w:tc>
          <w:tcPr>
            <w:tcW w:w="639" w:type="pct"/>
          </w:tcPr>
          <w:p w14:paraId="32530B14" w14:textId="22A15164" w:rsidR="000676A3" w:rsidRPr="006D4413" w:rsidRDefault="00F17185" w:rsidP="006D4413">
            <w:pPr>
              <w:spacing w:after="0"/>
              <w:contextualSpacing/>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0676A3" w:rsidRPr="006D4413">
              <w:t>14-</w:t>
            </w:r>
            <w:r>
              <w:t>20</w:t>
            </w:r>
            <w:r w:rsidR="000676A3" w:rsidRPr="006D4413">
              <w:t>15</w:t>
            </w:r>
          </w:p>
        </w:tc>
        <w:tc>
          <w:tcPr>
            <w:tcW w:w="639" w:type="pct"/>
          </w:tcPr>
          <w:p w14:paraId="36DCCBBE" w14:textId="7AA037ED" w:rsidR="000676A3" w:rsidRPr="006D4413" w:rsidRDefault="00F17185" w:rsidP="006D4413">
            <w:pPr>
              <w:spacing w:after="0"/>
              <w:contextualSpacing/>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0676A3" w:rsidRPr="006D4413">
              <w:t>15-</w:t>
            </w:r>
            <w:r>
              <w:t>20</w:t>
            </w:r>
            <w:r w:rsidR="000676A3" w:rsidRPr="006D4413">
              <w:t>16</w:t>
            </w:r>
          </w:p>
        </w:tc>
        <w:tc>
          <w:tcPr>
            <w:tcW w:w="639" w:type="pct"/>
          </w:tcPr>
          <w:p w14:paraId="4F810AD2" w14:textId="0987CD85" w:rsidR="000676A3" w:rsidRPr="006D4413" w:rsidRDefault="00F17185" w:rsidP="006D4413">
            <w:pPr>
              <w:spacing w:after="0"/>
              <w:contextualSpacing/>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0676A3" w:rsidRPr="006D4413">
              <w:t>16-</w:t>
            </w:r>
            <w:r>
              <w:t>20</w:t>
            </w:r>
            <w:r w:rsidR="000676A3" w:rsidRPr="006D4413">
              <w:t>17</w:t>
            </w:r>
          </w:p>
        </w:tc>
        <w:tc>
          <w:tcPr>
            <w:tcW w:w="639" w:type="pct"/>
          </w:tcPr>
          <w:p w14:paraId="2488E91E" w14:textId="7FFE8D78" w:rsidR="000676A3" w:rsidRPr="006D4413" w:rsidRDefault="00F17185" w:rsidP="006D4413">
            <w:pPr>
              <w:spacing w:after="0"/>
              <w:contextualSpacing/>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0676A3" w:rsidRPr="006D4413">
              <w:t>17-</w:t>
            </w:r>
            <w:r>
              <w:t>20</w:t>
            </w:r>
            <w:r w:rsidR="000676A3" w:rsidRPr="006D4413">
              <w:t>18</w:t>
            </w:r>
          </w:p>
        </w:tc>
        <w:tc>
          <w:tcPr>
            <w:tcW w:w="639" w:type="pct"/>
          </w:tcPr>
          <w:p w14:paraId="3363DAAC" w14:textId="555F550A" w:rsidR="000676A3" w:rsidRPr="006D4413" w:rsidRDefault="00F17185" w:rsidP="006D4413">
            <w:pPr>
              <w:spacing w:after="0"/>
              <w:contextualSpacing/>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0676A3" w:rsidRPr="006D4413">
              <w:t>18-</w:t>
            </w:r>
            <w:r>
              <w:t>20</w:t>
            </w:r>
            <w:r w:rsidR="000676A3" w:rsidRPr="006D4413">
              <w:t>19</w:t>
            </w:r>
          </w:p>
        </w:tc>
        <w:tc>
          <w:tcPr>
            <w:tcW w:w="639" w:type="pct"/>
          </w:tcPr>
          <w:p w14:paraId="18C8C9DC" w14:textId="1FC8E6E3" w:rsidR="000676A3" w:rsidRPr="006D4413" w:rsidRDefault="00F17185" w:rsidP="006D4413">
            <w:pPr>
              <w:spacing w:after="0"/>
              <w:contextualSpacing/>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0676A3" w:rsidRPr="006D4413">
              <w:t>19-</w:t>
            </w:r>
            <w:r>
              <w:t>20</w:t>
            </w:r>
            <w:r w:rsidR="000676A3" w:rsidRPr="006D4413">
              <w:t>20</w:t>
            </w:r>
          </w:p>
        </w:tc>
      </w:tr>
      <w:tr w:rsidR="003A3621" w:rsidRPr="0075238A" w14:paraId="1C16E5D9" w14:textId="77777777" w:rsidTr="006704D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165" w:type="pct"/>
          </w:tcPr>
          <w:p w14:paraId="26F765B8" w14:textId="19A92BC1" w:rsidR="000676A3" w:rsidRPr="003A3621" w:rsidRDefault="000676A3" w:rsidP="006D4413">
            <w:pPr>
              <w:spacing w:after="0"/>
              <w:contextualSpacing/>
              <w:jc w:val="center"/>
              <w:rPr>
                <w:rFonts w:cs="Arial"/>
                <w:b w:val="0"/>
                <w:bCs w:val="0"/>
                <w:color w:val="000000"/>
              </w:rPr>
            </w:pPr>
            <w:r w:rsidRPr="00521B59">
              <w:rPr>
                <w:rFonts w:cs="Arial"/>
                <w:b w:val="0"/>
                <w:bCs w:val="0"/>
                <w:color w:val="000000"/>
                <w:sz w:val="20"/>
                <w:szCs w:val="20"/>
              </w:rPr>
              <w:t>Difference between the lower state target &amp; Ohio’s performance</w:t>
            </w:r>
          </w:p>
        </w:tc>
        <w:tc>
          <w:tcPr>
            <w:tcW w:w="639" w:type="pct"/>
            <w:shd w:val="clear" w:color="auto" w:fill="EAF1DD" w:themeFill="accent3" w:themeFillTint="33"/>
            <w:vAlign w:val="center"/>
          </w:tcPr>
          <w:p w14:paraId="6CA13965" w14:textId="69240C43" w:rsidR="000676A3" w:rsidRPr="009F16E8" w:rsidRDefault="000676A3" w:rsidP="006704DA">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9F16E8">
              <w:rPr>
                <w:rFonts w:cs="Arial"/>
                <w:color w:val="000000"/>
              </w:rPr>
              <w:t>5.04%</w:t>
            </w:r>
          </w:p>
        </w:tc>
        <w:tc>
          <w:tcPr>
            <w:tcW w:w="639" w:type="pct"/>
            <w:shd w:val="clear" w:color="auto" w:fill="EAF1DD" w:themeFill="accent3" w:themeFillTint="33"/>
            <w:vAlign w:val="center"/>
          </w:tcPr>
          <w:p w14:paraId="0023C850" w14:textId="04C4F554" w:rsidR="000676A3" w:rsidRPr="009F16E8" w:rsidRDefault="000676A3" w:rsidP="006704DA">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9F16E8">
              <w:rPr>
                <w:rFonts w:cs="Arial"/>
                <w:color w:val="000000"/>
              </w:rPr>
              <w:t>11.00%</w:t>
            </w:r>
          </w:p>
        </w:tc>
        <w:tc>
          <w:tcPr>
            <w:tcW w:w="639" w:type="pct"/>
            <w:shd w:val="clear" w:color="auto" w:fill="EAF1DD" w:themeFill="accent3" w:themeFillTint="33"/>
            <w:vAlign w:val="center"/>
          </w:tcPr>
          <w:p w14:paraId="77C858D6" w14:textId="13043AE3" w:rsidR="000676A3" w:rsidRPr="009F16E8" w:rsidRDefault="000676A3" w:rsidP="006704DA">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9F16E8">
              <w:rPr>
                <w:rFonts w:cs="Arial"/>
                <w:color w:val="000000"/>
              </w:rPr>
              <w:t>1.07%</w:t>
            </w:r>
          </w:p>
        </w:tc>
        <w:tc>
          <w:tcPr>
            <w:tcW w:w="639" w:type="pct"/>
            <w:shd w:val="clear" w:color="auto" w:fill="EAF1DD" w:themeFill="accent3" w:themeFillTint="33"/>
            <w:vAlign w:val="center"/>
          </w:tcPr>
          <w:p w14:paraId="5C04F74A" w14:textId="2453BFC1" w:rsidR="000676A3" w:rsidRPr="009F16E8" w:rsidRDefault="000676A3" w:rsidP="006704DA">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9F16E8">
              <w:rPr>
                <w:rFonts w:cs="Arial"/>
                <w:color w:val="000000"/>
              </w:rPr>
              <w:t>13.17%</w:t>
            </w:r>
          </w:p>
        </w:tc>
        <w:tc>
          <w:tcPr>
            <w:tcW w:w="639" w:type="pct"/>
            <w:shd w:val="clear" w:color="auto" w:fill="F2DBDB" w:themeFill="accent2" w:themeFillTint="33"/>
            <w:vAlign w:val="center"/>
          </w:tcPr>
          <w:p w14:paraId="458FA92D" w14:textId="3BF005D0" w:rsidR="000676A3" w:rsidRPr="009F16E8" w:rsidRDefault="000676A3" w:rsidP="006704DA">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9F16E8">
              <w:rPr>
                <w:rFonts w:cs="Arial"/>
                <w:color w:val="000000"/>
              </w:rPr>
              <w:t>-5.93%</w:t>
            </w:r>
          </w:p>
        </w:tc>
        <w:tc>
          <w:tcPr>
            <w:tcW w:w="639" w:type="pct"/>
            <w:shd w:val="clear" w:color="auto" w:fill="F2DBDB" w:themeFill="accent2" w:themeFillTint="33"/>
            <w:vAlign w:val="center"/>
          </w:tcPr>
          <w:p w14:paraId="3359EE47" w14:textId="021BC6F8" w:rsidR="000676A3" w:rsidRPr="009F16E8" w:rsidRDefault="000676A3" w:rsidP="006704DA">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9F16E8">
              <w:rPr>
                <w:rFonts w:cs="Arial"/>
                <w:color w:val="000000"/>
              </w:rPr>
              <w:t>-42.00%</w:t>
            </w:r>
          </w:p>
        </w:tc>
      </w:tr>
    </w:tbl>
    <w:p w14:paraId="25AA8630" w14:textId="6CD90DBC" w:rsidR="00B25028" w:rsidRDefault="00B25028" w:rsidP="00B25028">
      <w:pPr>
        <w:pStyle w:val="Heading2"/>
      </w:pPr>
      <w:r>
        <w:t>What are the programmatic considerations?</w:t>
      </w:r>
    </w:p>
    <w:p w14:paraId="7B25EDE6" w14:textId="77777777" w:rsidR="00A5336C" w:rsidRPr="00A5336C" w:rsidRDefault="00A5336C" w:rsidP="00F20E1F">
      <w:pPr>
        <w:pStyle w:val="ListParagraph"/>
        <w:numPr>
          <w:ilvl w:val="0"/>
          <w:numId w:val="22"/>
        </w:numPr>
        <w:spacing w:before="120"/>
        <w:rPr>
          <w:rFonts w:asciiTheme="minorHAnsi" w:eastAsiaTheme="minorEastAsia" w:hAnsiTheme="minorHAnsi"/>
        </w:rPr>
      </w:pPr>
      <w:r>
        <w:t>Upon receipt of a due process request, a district must convene a resolution meeting with the parent within 15 days to attempt to resolve the issues in the request.</w:t>
      </w:r>
    </w:p>
    <w:p w14:paraId="79249447" w14:textId="77777777" w:rsidR="00A5336C" w:rsidRPr="00430B97" w:rsidRDefault="00A5336C" w:rsidP="00F20E1F">
      <w:pPr>
        <w:pStyle w:val="ListParagraph"/>
        <w:numPr>
          <w:ilvl w:val="0"/>
          <w:numId w:val="22"/>
        </w:numPr>
        <w:spacing w:before="120"/>
      </w:pPr>
      <w:r w:rsidRPr="00A5336C">
        <w:rPr>
          <w:rFonts w:eastAsia="Calibri"/>
        </w:rPr>
        <w:t>Most due process requests are withdrawn or dismissed prior to a hearing.</w:t>
      </w:r>
    </w:p>
    <w:p w14:paraId="0B594E39" w14:textId="56D98B1F" w:rsidR="00A5336C" w:rsidRDefault="00A5336C" w:rsidP="00F20E1F">
      <w:pPr>
        <w:pStyle w:val="ListParagraph"/>
        <w:numPr>
          <w:ilvl w:val="0"/>
          <w:numId w:val="22"/>
        </w:numPr>
        <w:spacing w:before="120"/>
      </w:pPr>
      <w:r w:rsidRPr="00A5336C">
        <w:rPr>
          <w:rFonts w:eastAsia="Calibri" w:cs="Arial"/>
        </w:rPr>
        <w:t>In past</w:t>
      </w:r>
      <w:r w:rsidR="001229B3">
        <w:rPr>
          <w:rFonts w:eastAsia="Calibri" w:cs="Arial"/>
        </w:rPr>
        <w:t xml:space="preserve"> </w:t>
      </w:r>
      <w:r w:rsidRPr="00A5336C">
        <w:rPr>
          <w:rFonts w:eastAsia="Calibri" w:cs="Arial"/>
        </w:rPr>
        <w:t xml:space="preserve">years, mediation has been promoted as a dispute resolution option to parents and districts. Parents and districts often prefer to waive the resolution meeting in favor of mediation. The </w:t>
      </w:r>
      <w:r w:rsidR="001229B3">
        <w:rPr>
          <w:rFonts w:eastAsia="Calibri" w:cs="Arial"/>
        </w:rPr>
        <w:t>Ohio</w:t>
      </w:r>
      <w:r w:rsidRPr="00A5336C">
        <w:rPr>
          <w:rFonts w:eastAsia="Calibri" w:cs="Arial"/>
        </w:rPr>
        <w:t xml:space="preserve"> </w:t>
      </w:r>
      <w:bookmarkStart w:id="7" w:name="_SG_d105dd7cd31a4ad38551145e792fd891"/>
      <w:r w:rsidRPr="00E37090">
        <w:rPr>
          <w:rFonts w:eastAsia="Calibri" w:cs="Arial"/>
          <w:u w:color="800080"/>
        </w:rPr>
        <w:t xml:space="preserve">Department </w:t>
      </w:r>
      <w:r w:rsidR="001229B3" w:rsidRPr="00E37090">
        <w:rPr>
          <w:rFonts w:eastAsia="Calibri" w:cs="Arial"/>
          <w:u w:color="800080"/>
        </w:rPr>
        <w:t>of Education</w:t>
      </w:r>
      <w:bookmarkEnd w:id="7"/>
      <w:r w:rsidR="001229B3">
        <w:rPr>
          <w:rFonts w:eastAsia="Calibri" w:cs="Arial"/>
        </w:rPr>
        <w:t xml:space="preserve"> </w:t>
      </w:r>
      <w:r w:rsidRPr="00A5336C">
        <w:rPr>
          <w:rFonts w:eastAsia="Calibri" w:cs="Arial"/>
        </w:rPr>
        <w:t>does not have control over parties’ preference for mediation.</w:t>
      </w:r>
    </w:p>
    <w:p w14:paraId="7C1A9FDE" w14:textId="22A1C1D9" w:rsidR="00A5336C" w:rsidRPr="00A5336C" w:rsidRDefault="00A5336C" w:rsidP="00F20E1F">
      <w:pPr>
        <w:pStyle w:val="ListParagraph"/>
        <w:numPr>
          <w:ilvl w:val="0"/>
          <w:numId w:val="22"/>
        </w:numPr>
        <w:spacing w:before="120"/>
        <w:rPr>
          <w:rFonts w:asciiTheme="minorHAnsi" w:eastAsiaTheme="minorEastAsia" w:hAnsiTheme="minorHAnsi"/>
        </w:rPr>
      </w:pPr>
      <w:r w:rsidRPr="00A5336C">
        <w:rPr>
          <w:rFonts w:eastAsia="Calibri" w:cs="Arial"/>
        </w:rPr>
        <w:t xml:space="preserve">The </w:t>
      </w:r>
      <w:r w:rsidR="001229B3">
        <w:rPr>
          <w:rFonts w:eastAsia="Calibri" w:cs="Arial"/>
        </w:rPr>
        <w:t>Ohio</w:t>
      </w:r>
      <w:r w:rsidRPr="00A5336C">
        <w:rPr>
          <w:rFonts w:eastAsia="Calibri" w:cs="Arial"/>
        </w:rPr>
        <w:t xml:space="preserve"> </w:t>
      </w:r>
      <w:bookmarkStart w:id="8" w:name="_SG_7bcaaaf230444aecaade4571cd698e93"/>
      <w:r w:rsidRPr="00E37090">
        <w:rPr>
          <w:rFonts w:eastAsia="Calibri" w:cs="Arial"/>
          <w:u w:color="800080"/>
        </w:rPr>
        <w:t>Department</w:t>
      </w:r>
      <w:r w:rsidR="001229B3" w:rsidRPr="00E37090">
        <w:rPr>
          <w:rFonts w:eastAsia="Calibri" w:cs="Arial"/>
          <w:u w:color="800080"/>
        </w:rPr>
        <w:t xml:space="preserve"> of Education</w:t>
      </w:r>
      <w:bookmarkEnd w:id="8"/>
      <w:r w:rsidRPr="00A5336C">
        <w:rPr>
          <w:rFonts w:eastAsia="Calibri" w:cs="Arial"/>
        </w:rPr>
        <w:t xml:space="preserve"> monitors compliance with the 15-day timeline by requiring parties to complete resolution meeting tracking forms.</w:t>
      </w:r>
    </w:p>
    <w:p w14:paraId="24740C93" w14:textId="650BF3CD" w:rsidR="00A5336C" w:rsidRPr="00A5336C" w:rsidRDefault="00A5336C" w:rsidP="00F20E1F">
      <w:pPr>
        <w:pStyle w:val="ListParagraph"/>
        <w:numPr>
          <w:ilvl w:val="0"/>
          <w:numId w:val="22"/>
        </w:numPr>
        <w:spacing w:before="120"/>
        <w:rPr>
          <w:rFonts w:asciiTheme="minorHAnsi" w:eastAsiaTheme="minorEastAsia" w:hAnsiTheme="minorHAnsi"/>
        </w:rPr>
      </w:pPr>
      <w:r w:rsidRPr="00A5336C">
        <w:rPr>
          <w:rFonts w:eastAsia="Calibri" w:cs="Arial"/>
        </w:rPr>
        <w:t xml:space="preserve">The </w:t>
      </w:r>
      <w:r w:rsidR="001229B3">
        <w:rPr>
          <w:rFonts w:eastAsia="Calibri" w:cs="Arial"/>
        </w:rPr>
        <w:t xml:space="preserve">Ohio </w:t>
      </w:r>
      <w:bookmarkStart w:id="9" w:name="_SG_bd3d138faa584974ac01ebabf415930c"/>
      <w:r w:rsidRPr="00E37090">
        <w:rPr>
          <w:rFonts w:eastAsia="Calibri" w:cs="Arial"/>
          <w:u w:color="800080"/>
        </w:rPr>
        <w:t xml:space="preserve">Department </w:t>
      </w:r>
      <w:r w:rsidR="001229B3" w:rsidRPr="00E37090">
        <w:rPr>
          <w:rFonts w:eastAsia="Calibri" w:cs="Arial"/>
          <w:u w:color="800080"/>
        </w:rPr>
        <w:t>of Education</w:t>
      </w:r>
      <w:bookmarkEnd w:id="9"/>
      <w:r w:rsidRPr="00A5336C">
        <w:rPr>
          <w:rFonts w:eastAsia="Calibri" w:cs="Arial"/>
        </w:rPr>
        <w:t xml:space="preserve"> reviews the tracking forms</w:t>
      </w:r>
      <w:r w:rsidR="001229B3">
        <w:rPr>
          <w:rFonts w:eastAsia="Calibri" w:cs="Arial"/>
        </w:rPr>
        <w:t>,</w:t>
      </w:r>
      <w:r w:rsidRPr="00A5336C">
        <w:rPr>
          <w:rFonts w:eastAsia="Calibri" w:cs="Arial"/>
        </w:rPr>
        <w:t xml:space="preserve"> which provide the date the resolution meeting was held and whether the meeting was successful in that it resulted in a written settlement agreement.</w:t>
      </w:r>
    </w:p>
    <w:p w14:paraId="02E7CD7A" w14:textId="77777777" w:rsidR="00A5336C" w:rsidRPr="00A5336C" w:rsidRDefault="00A5336C" w:rsidP="00F20E1F">
      <w:pPr>
        <w:pStyle w:val="ListParagraph"/>
        <w:numPr>
          <w:ilvl w:val="0"/>
          <w:numId w:val="22"/>
        </w:numPr>
        <w:spacing w:before="120"/>
      </w:pPr>
      <w:r w:rsidRPr="00A5336C">
        <w:rPr>
          <w:rFonts w:eastAsia="Calibri" w:cs="Arial"/>
        </w:rPr>
        <w:t>The resolution tracking form also states whether the parties waived the resolution meeting to participate in mediation.</w:t>
      </w:r>
    </w:p>
    <w:p w14:paraId="5DF0D4F0" w14:textId="04DBE4DE" w:rsidR="00A5336C" w:rsidRPr="00A5336C" w:rsidRDefault="00A5336C" w:rsidP="00F20E1F">
      <w:pPr>
        <w:pStyle w:val="ListParagraph"/>
        <w:numPr>
          <w:ilvl w:val="0"/>
          <w:numId w:val="22"/>
        </w:numPr>
        <w:spacing w:before="120"/>
      </w:pPr>
      <w:r w:rsidRPr="00430B97">
        <w:t>Resolution meetings may not include attorneys unless a parent is represented by an attorney. The 15-day timeline to hold the meeting typically is</w:t>
      </w:r>
      <w:r>
        <w:t xml:space="preserve"> </w:t>
      </w:r>
      <w:r w:rsidRPr="00430B97">
        <w:t>n</w:t>
      </w:r>
      <w:r>
        <w:t>o</w:t>
      </w:r>
      <w:r w:rsidRPr="00430B97">
        <w:t>t enough time for parties and their attorneys to apprise themselves of the issues and possible ways to resolve the issues.</w:t>
      </w:r>
    </w:p>
    <w:p w14:paraId="69A46B85" w14:textId="266411AE" w:rsidR="00CF4E24" w:rsidRDefault="00CF4E24" w:rsidP="00B25028">
      <w:pPr>
        <w:pStyle w:val="Heading2"/>
      </w:pPr>
      <w:r w:rsidRPr="00CF4E24">
        <w:lastRenderedPageBreak/>
        <w:t>Proposed Targets</w:t>
      </w:r>
    </w:p>
    <w:p w14:paraId="3F00B677" w14:textId="77777777" w:rsidR="00ED5CE2" w:rsidRDefault="00ED5CE2" w:rsidP="00A23318">
      <w:pPr>
        <w:pStyle w:val="ListParagraph"/>
        <w:numPr>
          <w:ilvl w:val="0"/>
          <w:numId w:val="16"/>
        </w:numPr>
        <w:spacing w:before="120"/>
        <w:rPr>
          <w:rFonts w:eastAsia="Times New Roman" w:cstheme="minorHAnsi"/>
          <w:color w:val="000000"/>
        </w:rPr>
      </w:pPr>
      <w:r>
        <w:rPr>
          <w:rFonts w:eastAsia="Times New Roman" w:cstheme="minorHAnsi"/>
          <w:color w:val="000000"/>
        </w:rPr>
        <w:t xml:space="preserve">Targets should be rigorous, yet attainable. </w:t>
      </w:r>
    </w:p>
    <w:p w14:paraId="7F53701B" w14:textId="29B89ECC" w:rsidR="00ED5CE2" w:rsidRPr="007715A4" w:rsidRDefault="00ED5CE2" w:rsidP="00A23318">
      <w:pPr>
        <w:pStyle w:val="ListParagraph"/>
        <w:numPr>
          <w:ilvl w:val="0"/>
          <w:numId w:val="16"/>
        </w:numPr>
        <w:spacing w:before="120"/>
      </w:pPr>
      <w:r w:rsidRPr="00ED5CE2">
        <w:rPr>
          <w:rFonts w:eastAsia="Times New Roman" w:cstheme="minorHAnsi"/>
          <w:color w:val="000000"/>
        </w:rPr>
        <w:t>Targets may remain the same several years in a row, though the final target year (2025-2026) must reflect improvement over baseline.</w:t>
      </w:r>
    </w:p>
    <w:p w14:paraId="2AB0B33B" w14:textId="693D3E94" w:rsidR="007715A4" w:rsidRPr="00764EDF" w:rsidRDefault="007715A4" w:rsidP="00A23318">
      <w:pPr>
        <w:pStyle w:val="ListParagraph"/>
        <w:numPr>
          <w:ilvl w:val="0"/>
          <w:numId w:val="16"/>
        </w:numPr>
        <w:spacing w:before="120"/>
      </w:pPr>
      <w:r>
        <w:rPr>
          <w:rFonts w:eastAsia="Times New Roman" w:cstheme="minorHAnsi"/>
          <w:color w:val="000000"/>
        </w:rPr>
        <w:t>Targets may be reflected in ranges as in prior years.</w:t>
      </w:r>
      <w:r w:rsidR="000926A3">
        <w:rPr>
          <w:rFonts w:eastAsia="Times New Roman" w:cstheme="minorHAnsi"/>
          <w:color w:val="000000"/>
        </w:rPr>
        <w:t xml:space="preserve"> </w:t>
      </w:r>
    </w:p>
    <w:p w14:paraId="2610A6B5" w14:textId="6D969D43" w:rsidR="00764EDF" w:rsidRDefault="00764EDF" w:rsidP="00A23318">
      <w:pPr>
        <w:pStyle w:val="ListParagraph"/>
        <w:numPr>
          <w:ilvl w:val="0"/>
          <w:numId w:val="16"/>
        </w:numPr>
        <w:spacing w:before="120"/>
      </w:pPr>
      <w:r>
        <w:t>The goal for indicator 15 is to be at or above the target or to fall within the target range.</w:t>
      </w:r>
    </w:p>
    <w:p w14:paraId="7199E494" w14:textId="63D6C16E" w:rsidR="000D2B9A" w:rsidRDefault="000D2B9A" w:rsidP="000D2B9A">
      <w:pPr>
        <w:pStyle w:val="Caption"/>
        <w:keepNext/>
      </w:pPr>
      <w:r>
        <w:t xml:space="preserve">Table </w:t>
      </w:r>
      <w:r>
        <w:fldChar w:fldCharType="begin"/>
      </w:r>
      <w:r>
        <w:instrText>SEQ Table \* ARABIC</w:instrText>
      </w:r>
      <w:r>
        <w:fldChar w:fldCharType="separate"/>
      </w:r>
      <w:r w:rsidR="007D64F6">
        <w:rPr>
          <w:noProof/>
        </w:rPr>
        <w:t>3</w:t>
      </w:r>
      <w:r>
        <w:fldChar w:fldCharType="end"/>
      </w:r>
      <w:r>
        <w:t>. Ohio’s previous target ranges for indicator 15.</w:t>
      </w:r>
    </w:p>
    <w:tbl>
      <w:tblPr>
        <w:tblStyle w:val="PlainTable1"/>
        <w:tblW w:w="5002" w:type="pct"/>
        <w:tblLook w:val="04A0" w:firstRow="1" w:lastRow="0" w:firstColumn="1" w:lastColumn="0" w:noHBand="0" w:noVBand="1"/>
        <w:tblCaption w:val="Ind 15 Previous Target Ranges"/>
        <w:tblDescription w:val="This table displays the previous state targets for indicator 15."/>
      </w:tblPr>
      <w:tblGrid>
        <w:gridCol w:w="1546"/>
        <w:gridCol w:w="1546"/>
        <w:gridCol w:w="1546"/>
        <w:gridCol w:w="1541"/>
        <w:gridCol w:w="1541"/>
        <w:gridCol w:w="1541"/>
        <w:gridCol w:w="1533"/>
      </w:tblGrid>
      <w:tr w:rsidR="00370C35" w:rsidRPr="002B213C" w14:paraId="390DCCCE" w14:textId="77777777" w:rsidTr="000D2B9A">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16" w:type="pct"/>
          </w:tcPr>
          <w:p w14:paraId="6B3D1C84" w14:textId="3EB37874" w:rsidR="004135C2" w:rsidRPr="002B213C" w:rsidRDefault="004135C2" w:rsidP="00400AAB">
            <w:pPr>
              <w:spacing w:after="0"/>
              <w:jc w:val="center"/>
              <w:rPr>
                <w:b w:val="0"/>
                <w:bCs w:val="0"/>
              </w:rPr>
            </w:pPr>
            <w:r>
              <w:t>School Year</w:t>
            </w:r>
          </w:p>
        </w:tc>
        <w:tc>
          <w:tcPr>
            <w:tcW w:w="716" w:type="pct"/>
          </w:tcPr>
          <w:p w14:paraId="31DE341C" w14:textId="6EBCD46F" w:rsidR="004135C2" w:rsidRDefault="004135C2" w:rsidP="00400AAB">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2014-</w:t>
            </w:r>
            <w:r w:rsidR="001229B3">
              <w:t>20</w:t>
            </w:r>
            <w:r>
              <w:t>15</w:t>
            </w:r>
          </w:p>
        </w:tc>
        <w:tc>
          <w:tcPr>
            <w:tcW w:w="716" w:type="pct"/>
          </w:tcPr>
          <w:p w14:paraId="5710C9A1" w14:textId="5FD190B8" w:rsidR="004135C2" w:rsidRDefault="004135C2" w:rsidP="00400AAB">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2015-</w:t>
            </w:r>
            <w:r w:rsidR="001229B3">
              <w:t>20</w:t>
            </w:r>
            <w:r>
              <w:t>16</w:t>
            </w:r>
          </w:p>
        </w:tc>
        <w:tc>
          <w:tcPr>
            <w:tcW w:w="714" w:type="pct"/>
          </w:tcPr>
          <w:p w14:paraId="31E34092" w14:textId="5EA0D5C0" w:rsidR="004135C2" w:rsidRDefault="004135C2" w:rsidP="00400AAB">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2016-</w:t>
            </w:r>
            <w:r w:rsidR="001229B3">
              <w:t>20</w:t>
            </w:r>
            <w:r>
              <w:t>17</w:t>
            </w:r>
          </w:p>
        </w:tc>
        <w:tc>
          <w:tcPr>
            <w:tcW w:w="714" w:type="pct"/>
          </w:tcPr>
          <w:p w14:paraId="327F7799" w14:textId="1C58C78A" w:rsidR="004135C2" w:rsidRPr="002B213C" w:rsidRDefault="004135C2" w:rsidP="00400AAB">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2017-</w:t>
            </w:r>
            <w:r w:rsidR="001229B3">
              <w:t>20</w:t>
            </w:r>
            <w:r>
              <w:t>18</w:t>
            </w:r>
          </w:p>
        </w:tc>
        <w:tc>
          <w:tcPr>
            <w:tcW w:w="714" w:type="pct"/>
          </w:tcPr>
          <w:p w14:paraId="5F1BF54F" w14:textId="2F77D7C9" w:rsidR="004135C2" w:rsidRPr="002B213C" w:rsidRDefault="004135C2" w:rsidP="00400AAB">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2018-</w:t>
            </w:r>
            <w:r w:rsidR="001229B3">
              <w:t>20</w:t>
            </w:r>
            <w:r>
              <w:t>19</w:t>
            </w:r>
          </w:p>
        </w:tc>
        <w:tc>
          <w:tcPr>
            <w:tcW w:w="710" w:type="pct"/>
          </w:tcPr>
          <w:p w14:paraId="4E9EB18A" w14:textId="01729BD9" w:rsidR="004135C2" w:rsidRPr="002B213C" w:rsidRDefault="004135C2" w:rsidP="00400AAB">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2019-</w:t>
            </w:r>
            <w:r w:rsidR="001229B3">
              <w:t>20</w:t>
            </w:r>
            <w:r>
              <w:t>20</w:t>
            </w:r>
          </w:p>
        </w:tc>
      </w:tr>
      <w:tr w:rsidR="00370C35" w14:paraId="6673A9C3" w14:textId="77777777" w:rsidTr="000D2B9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16" w:type="pct"/>
          </w:tcPr>
          <w:p w14:paraId="12E9DB0F" w14:textId="0620D82E" w:rsidR="00A63EB8" w:rsidRPr="000D2B9A" w:rsidRDefault="00A63EB8" w:rsidP="00400AAB">
            <w:pPr>
              <w:spacing w:after="0"/>
              <w:jc w:val="center"/>
              <w:rPr>
                <w:b w:val="0"/>
                <w:bCs w:val="0"/>
              </w:rPr>
            </w:pPr>
            <w:r w:rsidRPr="000D2B9A">
              <w:rPr>
                <w:b w:val="0"/>
                <w:bCs w:val="0"/>
              </w:rPr>
              <w:t>Target Range</w:t>
            </w:r>
          </w:p>
        </w:tc>
        <w:tc>
          <w:tcPr>
            <w:tcW w:w="716" w:type="pct"/>
          </w:tcPr>
          <w:p w14:paraId="4B17E411" w14:textId="5B51CDAE" w:rsidR="00A63EB8" w:rsidRPr="00A63EB8" w:rsidRDefault="00A63EB8" w:rsidP="00400AA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63EB8">
              <w:rPr>
                <w:rFonts w:cs="Arial"/>
                <w:color w:val="000000"/>
              </w:rPr>
              <w:t>38.00% - 46.00%</w:t>
            </w:r>
          </w:p>
        </w:tc>
        <w:tc>
          <w:tcPr>
            <w:tcW w:w="716" w:type="pct"/>
          </w:tcPr>
          <w:p w14:paraId="09F8F8B0" w14:textId="6C4C84EB" w:rsidR="00A63EB8" w:rsidRPr="00A63EB8" w:rsidRDefault="00A63EB8" w:rsidP="00400AA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63EB8">
              <w:rPr>
                <w:rFonts w:cs="Arial"/>
                <w:color w:val="000000"/>
              </w:rPr>
              <w:t>39.00% - 47.00%</w:t>
            </w:r>
          </w:p>
        </w:tc>
        <w:tc>
          <w:tcPr>
            <w:tcW w:w="714" w:type="pct"/>
          </w:tcPr>
          <w:p w14:paraId="400F52BB" w14:textId="4E941D1D" w:rsidR="00A63EB8" w:rsidRPr="00A63EB8" w:rsidRDefault="00A63EB8" w:rsidP="00400AA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63EB8">
              <w:rPr>
                <w:rFonts w:cs="Arial"/>
                <w:color w:val="000000"/>
              </w:rPr>
              <w:t>40.00% - 48.00%</w:t>
            </w:r>
          </w:p>
        </w:tc>
        <w:tc>
          <w:tcPr>
            <w:tcW w:w="714" w:type="pct"/>
          </w:tcPr>
          <w:p w14:paraId="6176D439" w14:textId="3B4ACFB6" w:rsidR="00A63EB8" w:rsidRPr="00A63EB8" w:rsidRDefault="00A63EB8" w:rsidP="00400AAB">
            <w:pPr>
              <w:spacing w:after="0"/>
              <w:jc w:val="center"/>
              <w:cnfStyle w:val="000000100000" w:firstRow="0" w:lastRow="0" w:firstColumn="0" w:lastColumn="0" w:oddVBand="0" w:evenVBand="0" w:oddHBand="1" w:evenHBand="0" w:firstRowFirstColumn="0" w:firstRowLastColumn="0" w:lastRowFirstColumn="0" w:lastRowLastColumn="0"/>
            </w:pPr>
            <w:r w:rsidRPr="00A63EB8">
              <w:rPr>
                <w:rFonts w:eastAsia="Times New Roman" w:cs="Arial"/>
                <w:color w:val="000000"/>
              </w:rPr>
              <w:t>41.00% - 49.00%</w:t>
            </w:r>
          </w:p>
        </w:tc>
        <w:tc>
          <w:tcPr>
            <w:tcW w:w="714" w:type="pct"/>
          </w:tcPr>
          <w:p w14:paraId="26B8834C" w14:textId="32ACEC62" w:rsidR="00A63EB8" w:rsidRPr="00A63EB8" w:rsidRDefault="00A63EB8" w:rsidP="00400AAB">
            <w:pPr>
              <w:spacing w:after="0"/>
              <w:jc w:val="center"/>
              <w:cnfStyle w:val="000000100000" w:firstRow="0" w:lastRow="0" w:firstColumn="0" w:lastColumn="0" w:oddVBand="0" w:evenVBand="0" w:oddHBand="1" w:evenHBand="0" w:firstRowFirstColumn="0" w:firstRowLastColumn="0" w:lastRowFirstColumn="0" w:lastRowLastColumn="0"/>
            </w:pPr>
            <w:r w:rsidRPr="00A63EB8">
              <w:rPr>
                <w:rFonts w:eastAsia="Times New Roman" w:cs="Arial"/>
                <w:color w:val="000000"/>
              </w:rPr>
              <w:t>42.00% - 50.00%</w:t>
            </w:r>
          </w:p>
        </w:tc>
        <w:tc>
          <w:tcPr>
            <w:tcW w:w="710" w:type="pct"/>
          </w:tcPr>
          <w:p w14:paraId="0F91C65D" w14:textId="2EF53110" w:rsidR="00A63EB8" w:rsidRPr="00A63EB8" w:rsidRDefault="00A63EB8" w:rsidP="00400AAB">
            <w:pPr>
              <w:spacing w:after="0"/>
              <w:jc w:val="center"/>
              <w:cnfStyle w:val="000000100000" w:firstRow="0" w:lastRow="0" w:firstColumn="0" w:lastColumn="0" w:oddVBand="0" w:evenVBand="0" w:oddHBand="1" w:evenHBand="0" w:firstRowFirstColumn="0" w:firstRowLastColumn="0" w:lastRowFirstColumn="0" w:lastRowLastColumn="0"/>
            </w:pPr>
            <w:r w:rsidRPr="00A63EB8">
              <w:rPr>
                <w:rFonts w:eastAsia="Times New Roman" w:cs="Arial"/>
                <w:color w:val="000000"/>
              </w:rPr>
              <w:t>42.00% - 51.00%</w:t>
            </w:r>
          </w:p>
        </w:tc>
      </w:tr>
    </w:tbl>
    <w:p w14:paraId="0005F547" w14:textId="2276A82B" w:rsidR="007D64F6" w:rsidRDefault="007D64F6" w:rsidP="007D64F6">
      <w:pPr>
        <w:pStyle w:val="Caption"/>
        <w:keepNext/>
      </w:pPr>
      <w:r>
        <w:t xml:space="preserve">Table </w:t>
      </w:r>
      <w:r>
        <w:fldChar w:fldCharType="begin"/>
      </w:r>
      <w:r>
        <w:instrText>SEQ Table \* ARABIC</w:instrText>
      </w:r>
      <w:r>
        <w:fldChar w:fldCharType="separate"/>
      </w:r>
      <w:r>
        <w:rPr>
          <w:noProof/>
        </w:rPr>
        <w:t>4</w:t>
      </w:r>
      <w:r>
        <w:fldChar w:fldCharType="end"/>
      </w:r>
      <w:r>
        <w:t>. Proposed Target Table Option A – Indicator 15</w:t>
      </w:r>
    </w:p>
    <w:tbl>
      <w:tblPr>
        <w:tblStyle w:val="PlainTable1"/>
        <w:tblW w:w="5003" w:type="pct"/>
        <w:tblLook w:val="04A0" w:firstRow="1" w:lastRow="0" w:firstColumn="1" w:lastColumn="0" w:noHBand="0" w:noVBand="1"/>
        <w:tblCaption w:val="Proposed Target Table Option A Ind 15"/>
        <w:tblDescription w:val="This table displays the first set of proposed target options, Option A, for indicator 15."/>
      </w:tblPr>
      <w:tblGrid>
        <w:gridCol w:w="2652"/>
        <w:gridCol w:w="964"/>
        <w:gridCol w:w="898"/>
        <w:gridCol w:w="1047"/>
        <w:gridCol w:w="1047"/>
        <w:gridCol w:w="1047"/>
        <w:gridCol w:w="1047"/>
        <w:gridCol w:w="1047"/>
        <w:gridCol w:w="1047"/>
      </w:tblGrid>
      <w:tr w:rsidR="007D64F6" w:rsidRPr="007D64F6" w14:paraId="10BE18CC" w14:textId="77777777" w:rsidTr="09E1A35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28" w:type="pct"/>
          </w:tcPr>
          <w:p w14:paraId="3216854F" w14:textId="6D790928" w:rsidR="00020402" w:rsidRPr="007D64F6" w:rsidRDefault="000D2B9A" w:rsidP="00020402">
            <w:pPr>
              <w:spacing w:after="0"/>
              <w:jc w:val="center"/>
              <w:rPr>
                <w:sz w:val="18"/>
                <w:szCs w:val="18"/>
              </w:rPr>
            </w:pPr>
            <w:bookmarkStart w:id="10" w:name="Title_Proposed_Target_Table_Option_A"/>
            <w:bookmarkEnd w:id="10"/>
            <w:r w:rsidRPr="007D64F6">
              <w:rPr>
                <w:sz w:val="18"/>
                <w:szCs w:val="18"/>
              </w:rPr>
              <w:t>Indicator 15: Resolution Sessions</w:t>
            </w:r>
          </w:p>
        </w:tc>
        <w:tc>
          <w:tcPr>
            <w:tcW w:w="446" w:type="pct"/>
          </w:tcPr>
          <w:p w14:paraId="365D371F" w14:textId="172C3D43" w:rsidR="00020402" w:rsidRPr="007D64F6" w:rsidRDefault="00020402" w:rsidP="0002040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2005-</w:t>
            </w:r>
            <w:r w:rsidR="001229B3">
              <w:rPr>
                <w:sz w:val="18"/>
                <w:szCs w:val="18"/>
              </w:rPr>
              <w:t>20</w:t>
            </w:r>
            <w:r w:rsidRPr="007D64F6">
              <w:rPr>
                <w:sz w:val="18"/>
                <w:szCs w:val="18"/>
              </w:rPr>
              <w:t>06</w:t>
            </w:r>
          </w:p>
          <w:p w14:paraId="25050057" w14:textId="1C450251" w:rsidR="000D2B9A" w:rsidRPr="007D64F6" w:rsidRDefault="000D2B9A" w:rsidP="0002040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Baseline</w:t>
            </w:r>
          </w:p>
        </w:tc>
        <w:tc>
          <w:tcPr>
            <w:tcW w:w="416" w:type="pct"/>
          </w:tcPr>
          <w:p w14:paraId="465C972F" w14:textId="2FCA66F7" w:rsidR="00020402" w:rsidRPr="007D64F6" w:rsidRDefault="00020402" w:rsidP="0002040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2019-</w:t>
            </w:r>
            <w:r w:rsidR="001229B3">
              <w:rPr>
                <w:sz w:val="18"/>
                <w:szCs w:val="18"/>
              </w:rPr>
              <w:t>20</w:t>
            </w:r>
            <w:r w:rsidRPr="007D64F6">
              <w:rPr>
                <w:sz w:val="18"/>
                <w:szCs w:val="18"/>
              </w:rPr>
              <w:t>20</w:t>
            </w:r>
          </w:p>
          <w:p w14:paraId="4BEADEE0" w14:textId="2982BBC8" w:rsidR="000D2B9A" w:rsidRPr="007D64F6" w:rsidRDefault="000D2B9A" w:rsidP="0002040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Data</w:t>
            </w:r>
          </w:p>
        </w:tc>
        <w:tc>
          <w:tcPr>
            <w:tcW w:w="485" w:type="pct"/>
          </w:tcPr>
          <w:p w14:paraId="71DC415B" w14:textId="6FF70544" w:rsidR="00020402" w:rsidRPr="007D64F6" w:rsidRDefault="00020402" w:rsidP="0002040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2020-</w:t>
            </w:r>
            <w:r w:rsidR="001229B3">
              <w:rPr>
                <w:sz w:val="18"/>
                <w:szCs w:val="18"/>
              </w:rPr>
              <w:t>20</w:t>
            </w:r>
            <w:r w:rsidRPr="007D64F6">
              <w:rPr>
                <w:sz w:val="18"/>
                <w:szCs w:val="18"/>
              </w:rPr>
              <w:t>21</w:t>
            </w:r>
          </w:p>
          <w:p w14:paraId="0C7505FA" w14:textId="09406B1A" w:rsidR="000D2B9A" w:rsidRPr="007D64F6" w:rsidRDefault="000D2B9A" w:rsidP="0002040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Proposed Target</w:t>
            </w:r>
          </w:p>
        </w:tc>
        <w:tc>
          <w:tcPr>
            <w:tcW w:w="485" w:type="pct"/>
          </w:tcPr>
          <w:p w14:paraId="750CE63B" w14:textId="632B5EFD" w:rsidR="00020402" w:rsidRPr="007D64F6" w:rsidRDefault="00020402" w:rsidP="0002040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2021-</w:t>
            </w:r>
            <w:r w:rsidR="001229B3">
              <w:rPr>
                <w:sz w:val="18"/>
                <w:szCs w:val="18"/>
              </w:rPr>
              <w:t>20</w:t>
            </w:r>
            <w:r w:rsidRPr="007D64F6">
              <w:rPr>
                <w:sz w:val="18"/>
                <w:szCs w:val="18"/>
              </w:rPr>
              <w:t>22</w:t>
            </w:r>
          </w:p>
          <w:p w14:paraId="0073100E" w14:textId="0AE952C2" w:rsidR="000D2B9A" w:rsidRPr="007D64F6" w:rsidRDefault="000D2B9A" w:rsidP="0002040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Proposed Target</w:t>
            </w:r>
          </w:p>
        </w:tc>
        <w:tc>
          <w:tcPr>
            <w:tcW w:w="485" w:type="pct"/>
          </w:tcPr>
          <w:p w14:paraId="593BA075" w14:textId="0CFE8E63" w:rsidR="00020402" w:rsidRPr="007D64F6" w:rsidRDefault="00020402" w:rsidP="0002040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2022-</w:t>
            </w:r>
            <w:r w:rsidR="001229B3">
              <w:rPr>
                <w:sz w:val="18"/>
                <w:szCs w:val="18"/>
              </w:rPr>
              <w:t>20</w:t>
            </w:r>
            <w:r w:rsidRPr="007D64F6">
              <w:rPr>
                <w:sz w:val="18"/>
                <w:szCs w:val="18"/>
              </w:rPr>
              <w:t>23</w:t>
            </w:r>
            <w:r w:rsidR="000D2B9A" w:rsidRPr="007D64F6">
              <w:rPr>
                <w:sz w:val="18"/>
                <w:szCs w:val="18"/>
              </w:rPr>
              <w:t xml:space="preserve"> Proposed Target</w:t>
            </w:r>
          </w:p>
        </w:tc>
        <w:tc>
          <w:tcPr>
            <w:tcW w:w="485" w:type="pct"/>
          </w:tcPr>
          <w:p w14:paraId="5F878B42" w14:textId="1DB2548A" w:rsidR="00020402" w:rsidRPr="007D64F6" w:rsidRDefault="00020402" w:rsidP="0002040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2023-</w:t>
            </w:r>
            <w:r w:rsidR="001229B3">
              <w:rPr>
                <w:sz w:val="18"/>
                <w:szCs w:val="18"/>
              </w:rPr>
              <w:t>20</w:t>
            </w:r>
            <w:r w:rsidRPr="007D64F6">
              <w:rPr>
                <w:sz w:val="18"/>
                <w:szCs w:val="18"/>
              </w:rPr>
              <w:t>24</w:t>
            </w:r>
            <w:r w:rsidR="000D2B9A" w:rsidRPr="007D64F6">
              <w:rPr>
                <w:sz w:val="18"/>
                <w:szCs w:val="18"/>
              </w:rPr>
              <w:t xml:space="preserve"> Proposed Target</w:t>
            </w:r>
          </w:p>
        </w:tc>
        <w:tc>
          <w:tcPr>
            <w:tcW w:w="485" w:type="pct"/>
          </w:tcPr>
          <w:p w14:paraId="6DF657B6" w14:textId="0F6D6673" w:rsidR="00020402" w:rsidRPr="007D64F6" w:rsidRDefault="00020402" w:rsidP="0002040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2024-</w:t>
            </w:r>
            <w:r w:rsidR="001229B3">
              <w:rPr>
                <w:sz w:val="18"/>
                <w:szCs w:val="18"/>
              </w:rPr>
              <w:t>20</w:t>
            </w:r>
            <w:r w:rsidRPr="007D64F6">
              <w:rPr>
                <w:sz w:val="18"/>
                <w:szCs w:val="18"/>
              </w:rPr>
              <w:t>25</w:t>
            </w:r>
            <w:r w:rsidR="000D2B9A" w:rsidRPr="007D64F6">
              <w:rPr>
                <w:sz w:val="18"/>
                <w:szCs w:val="18"/>
              </w:rPr>
              <w:t xml:space="preserve"> Proposed Target</w:t>
            </w:r>
          </w:p>
        </w:tc>
        <w:tc>
          <w:tcPr>
            <w:tcW w:w="485" w:type="pct"/>
          </w:tcPr>
          <w:p w14:paraId="1E8FE12C" w14:textId="64E512C7" w:rsidR="00020402" w:rsidRPr="007D64F6" w:rsidRDefault="00020402" w:rsidP="0002040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9E1A35B">
              <w:rPr>
                <w:sz w:val="18"/>
                <w:szCs w:val="18"/>
              </w:rPr>
              <w:t>2025-</w:t>
            </w:r>
            <w:r w:rsidR="001229B3">
              <w:rPr>
                <w:sz w:val="18"/>
                <w:szCs w:val="18"/>
              </w:rPr>
              <w:t>20</w:t>
            </w:r>
            <w:r w:rsidRPr="09E1A35B">
              <w:rPr>
                <w:sz w:val="18"/>
                <w:szCs w:val="18"/>
              </w:rPr>
              <w:t>26</w:t>
            </w:r>
            <w:r w:rsidR="000D2B9A" w:rsidRPr="09E1A35B">
              <w:rPr>
                <w:sz w:val="18"/>
                <w:szCs w:val="18"/>
              </w:rPr>
              <w:t xml:space="preserve"> Proposed Target</w:t>
            </w:r>
          </w:p>
        </w:tc>
      </w:tr>
      <w:tr w:rsidR="007D64F6" w14:paraId="15133D60" w14:textId="77777777" w:rsidTr="006704D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228" w:type="pct"/>
          </w:tcPr>
          <w:p w14:paraId="67CA0C58" w14:textId="150A3280" w:rsidR="00020402" w:rsidRPr="007D64F6" w:rsidRDefault="00020402" w:rsidP="00020402">
            <w:pPr>
              <w:spacing w:after="0"/>
              <w:jc w:val="center"/>
              <w:rPr>
                <w:b w:val="0"/>
                <w:bCs w:val="0"/>
              </w:rPr>
            </w:pPr>
            <w:r w:rsidRPr="007D64F6">
              <w:rPr>
                <w:b w:val="0"/>
                <w:bCs w:val="0"/>
                <w:sz w:val="20"/>
                <w:szCs w:val="20"/>
              </w:rPr>
              <w:t>Percentage of hearing requests that went to resolution sessions that were resolved through resolution settlement agreements</w:t>
            </w:r>
          </w:p>
        </w:tc>
        <w:tc>
          <w:tcPr>
            <w:tcW w:w="446" w:type="pct"/>
            <w:vAlign w:val="center"/>
          </w:tcPr>
          <w:p w14:paraId="4D487BB0" w14:textId="29E5E372" w:rsidR="00020402" w:rsidRDefault="00020402" w:rsidP="006704DA">
            <w:pPr>
              <w:spacing w:after="0"/>
              <w:jc w:val="center"/>
              <w:cnfStyle w:val="000000100000" w:firstRow="0" w:lastRow="0" w:firstColumn="0" w:lastColumn="0" w:oddVBand="0" w:evenVBand="0" w:oddHBand="1" w:evenHBand="0" w:firstRowFirstColumn="0" w:firstRowLastColumn="0" w:lastRowFirstColumn="0" w:lastRowLastColumn="0"/>
            </w:pPr>
            <w:r>
              <w:t>43.04%</w:t>
            </w:r>
          </w:p>
        </w:tc>
        <w:tc>
          <w:tcPr>
            <w:tcW w:w="416" w:type="pct"/>
            <w:vAlign w:val="center"/>
          </w:tcPr>
          <w:p w14:paraId="70BDE21B" w14:textId="5F4D76E4" w:rsidR="00020402" w:rsidRDefault="00020402" w:rsidP="006704DA">
            <w:pPr>
              <w:spacing w:after="0"/>
              <w:jc w:val="center"/>
              <w:cnfStyle w:val="000000100000" w:firstRow="0" w:lastRow="0" w:firstColumn="0" w:lastColumn="0" w:oddVBand="0" w:evenVBand="0" w:oddHBand="1" w:evenHBand="0" w:firstRowFirstColumn="0" w:firstRowLastColumn="0" w:lastRowFirstColumn="0" w:lastRowLastColumn="0"/>
            </w:pPr>
            <w:r>
              <w:t>0.00%</w:t>
            </w:r>
          </w:p>
        </w:tc>
        <w:tc>
          <w:tcPr>
            <w:tcW w:w="485" w:type="pct"/>
            <w:vAlign w:val="center"/>
          </w:tcPr>
          <w:p w14:paraId="3F98177A" w14:textId="053DFABA" w:rsidR="00020402" w:rsidRDefault="00020402" w:rsidP="006704DA">
            <w:pPr>
              <w:spacing w:after="0"/>
              <w:jc w:val="center"/>
              <w:cnfStyle w:val="000000100000" w:firstRow="0" w:lastRow="0" w:firstColumn="0" w:lastColumn="0" w:oddVBand="0" w:evenVBand="0" w:oddHBand="1" w:evenHBand="0" w:firstRowFirstColumn="0" w:firstRowLastColumn="0" w:lastRowFirstColumn="0" w:lastRowLastColumn="0"/>
            </w:pPr>
            <w:r>
              <w:t>5.00%</w:t>
            </w:r>
          </w:p>
        </w:tc>
        <w:tc>
          <w:tcPr>
            <w:tcW w:w="485" w:type="pct"/>
            <w:vAlign w:val="center"/>
          </w:tcPr>
          <w:p w14:paraId="48C96BED" w14:textId="62BF9BB4" w:rsidR="00020402" w:rsidRDefault="00020402" w:rsidP="006704DA">
            <w:pPr>
              <w:spacing w:after="0"/>
              <w:jc w:val="center"/>
              <w:cnfStyle w:val="000000100000" w:firstRow="0" w:lastRow="0" w:firstColumn="0" w:lastColumn="0" w:oddVBand="0" w:evenVBand="0" w:oddHBand="1" w:evenHBand="0" w:firstRowFirstColumn="0" w:firstRowLastColumn="0" w:lastRowFirstColumn="0" w:lastRowLastColumn="0"/>
            </w:pPr>
            <w:r>
              <w:t>5.00%</w:t>
            </w:r>
          </w:p>
        </w:tc>
        <w:tc>
          <w:tcPr>
            <w:tcW w:w="485" w:type="pct"/>
            <w:vAlign w:val="center"/>
          </w:tcPr>
          <w:p w14:paraId="723E3D4F" w14:textId="07B5E0F8" w:rsidR="00020402" w:rsidRDefault="00020402" w:rsidP="006704DA">
            <w:pPr>
              <w:spacing w:after="0"/>
              <w:jc w:val="center"/>
              <w:cnfStyle w:val="000000100000" w:firstRow="0" w:lastRow="0" w:firstColumn="0" w:lastColumn="0" w:oddVBand="0" w:evenVBand="0" w:oddHBand="1" w:evenHBand="0" w:firstRowFirstColumn="0" w:firstRowLastColumn="0" w:lastRowFirstColumn="0" w:lastRowLastColumn="0"/>
            </w:pPr>
            <w:r>
              <w:t>5.00%</w:t>
            </w:r>
          </w:p>
        </w:tc>
        <w:tc>
          <w:tcPr>
            <w:tcW w:w="485" w:type="pct"/>
            <w:vAlign w:val="center"/>
          </w:tcPr>
          <w:p w14:paraId="58C2F436" w14:textId="551E7406" w:rsidR="00020402" w:rsidRDefault="00020402" w:rsidP="006704DA">
            <w:pPr>
              <w:spacing w:after="0"/>
              <w:jc w:val="center"/>
              <w:cnfStyle w:val="000000100000" w:firstRow="0" w:lastRow="0" w:firstColumn="0" w:lastColumn="0" w:oddVBand="0" w:evenVBand="0" w:oddHBand="1" w:evenHBand="0" w:firstRowFirstColumn="0" w:firstRowLastColumn="0" w:lastRowFirstColumn="0" w:lastRowLastColumn="0"/>
            </w:pPr>
            <w:r>
              <w:t>5.00%</w:t>
            </w:r>
          </w:p>
        </w:tc>
        <w:tc>
          <w:tcPr>
            <w:tcW w:w="485" w:type="pct"/>
            <w:vAlign w:val="center"/>
          </w:tcPr>
          <w:p w14:paraId="4A1FA6D7" w14:textId="57279955" w:rsidR="00020402" w:rsidRDefault="00020402" w:rsidP="006704DA">
            <w:pPr>
              <w:spacing w:after="0"/>
              <w:jc w:val="center"/>
              <w:cnfStyle w:val="000000100000" w:firstRow="0" w:lastRow="0" w:firstColumn="0" w:lastColumn="0" w:oddVBand="0" w:evenVBand="0" w:oddHBand="1" w:evenHBand="0" w:firstRowFirstColumn="0" w:firstRowLastColumn="0" w:lastRowFirstColumn="0" w:lastRowLastColumn="0"/>
            </w:pPr>
            <w:r>
              <w:t>5.00%</w:t>
            </w:r>
          </w:p>
        </w:tc>
        <w:tc>
          <w:tcPr>
            <w:tcW w:w="485" w:type="pct"/>
            <w:vAlign w:val="center"/>
          </w:tcPr>
          <w:p w14:paraId="3B505D2C" w14:textId="10230AC3" w:rsidR="00020402" w:rsidRDefault="00020402" w:rsidP="006704DA">
            <w:pPr>
              <w:spacing w:after="0"/>
              <w:jc w:val="center"/>
              <w:cnfStyle w:val="000000100000" w:firstRow="0" w:lastRow="0" w:firstColumn="0" w:lastColumn="0" w:oddVBand="0" w:evenVBand="0" w:oddHBand="1" w:evenHBand="0" w:firstRowFirstColumn="0" w:firstRowLastColumn="0" w:lastRowFirstColumn="0" w:lastRowLastColumn="0"/>
            </w:pPr>
            <w:r>
              <w:t>43.05%</w:t>
            </w:r>
          </w:p>
        </w:tc>
      </w:tr>
    </w:tbl>
    <w:p w14:paraId="320095AD" w14:textId="0AABD059" w:rsidR="00CC50B2" w:rsidRDefault="00CF4E24" w:rsidP="00CF4E24">
      <w:pPr>
        <w:pStyle w:val="Heading3"/>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w:t>
      </w:r>
      <w:r w:rsidR="002B213C" w:rsidRPr="00CF4E24">
        <w:rPr>
          <w:rFonts w:eastAsiaTheme="minorHAnsi"/>
        </w:rPr>
        <w:t>Rationale</w:t>
      </w:r>
    </w:p>
    <w:p w14:paraId="3B001C45" w14:textId="4E644682" w:rsidR="007D64F6" w:rsidRPr="00430B97" w:rsidRDefault="007D64F6" w:rsidP="007D64F6">
      <w:pPr>
        <w:pStyle w:val="ListParagraph"/>
        <w:numPr>
          <w:ilvl w:val="0"/>
          <w:numId w:val="24"/>
        </w:numPr>
        <w:spacing w:before="120"/>
      </w:pPr>
      <w:r>
        <w:t>The targets do not increase</w:t>
      </w:r>
      <w:r w:rsidRPr="00430B97">
        <w:t xml:space="preserve"> </w:t>
      </w:r>
      <w:r>
        <w:t>until 2025-</w:t>
      </w:r>
      <w:r w:rsidR="001229B3">
        <w:t>20</w:t>
      </w:r>
      <w:r>
        <w:t>26</w:t>
      </w:r>
      <w:r w:rsidRPr="00430B97">
        <w:t xml:space="preserve"> in recognition of the pandemic and anticipation of COVID variants.</w:t>
      </w:r>
      <w:r w:rsidR="00D86FDD">
        <w:t xml:space="preserve"> This approach requires a large increase from 2024-2025 to 2025-2026 to </w:t>
      </w:r>
      <w:r w:rsidR="003926CD">
        <w:t xml:space="preserve">meet </w:t>
      </w:r>
      <w:r w:rsidR="00253A2D">
        <w:t xml:space="preserve">the requirement to </w:t>
      </w:r>
      <w:r w:rsidR="00D86FDD">
        <w:t xml:space="preserve">be above baseline in the final year of targets. </w:t>
      </w:r>
    </w:p>
    <w:p w14:paraId="04C3906F" w14:textId="795AF10C" w:rsidR="007D64F6" w:rsidRPr="007D64F6" w:rsidRDefault="007D64F6" w:rsidP="007D64F6">
      <w:pPr>
        <w:pStyle w:val="ListParagraph"/>
        <w:numPr>
          <w:ilvl w:val="0"/>
          <w:numId w:val="24"/>
        </w:numPr>
        <w:spacing w:before="120"/>
      </w:pPr>
      <w:r w:rsidRPr="007D64F6">
        <w:rPr>
          <w:rFonts w:eastAsia="Calibri"/>
        </w:rPr>
        <w:t>The 2025-</w:t>
      </w:r>
      <w:r w:rsidR="001229B3">
        <w:rPr>
          <w:rFonts w:eastAsia="Calibri"/>
        </w:rPr>
        <w:t>20</w:t>
      </w:r>
      <w:r w:rsidRPr="007D64F6">
        <w:rPr>
          <w:rFonts w:eastAsia="Calibri"/>
        </w:rPr>
        <w:t>26 target increases due to eventual recovery from the impact of the pandemic on dispute resolution options and continued distribution of information related to resolution sessions.</w:t>
      </w:r>
    </w:p>
    <w:p w14:paraId="7C649DA1" w14:textId="208B7CB0" w:rsidR="007D64F6" w:rsidRPr="007D64F6" w:rsidRDefault="007D64F6" w:rsidP="007D64F6">
      <w:pPr>
        <w:pStyle w:val="ListParagraph"/>
        <w:numPr>
          <w:ilvl w:val="0"/>
          <w:numId w:val="24"/>
        </w:numPr>
        <w:spacing w:before="120"/>
      </w:pPr>
      <w:r w:rsidRPr="001229B3">
        <w:rPr>
          <w:rStyle w:val="normaltextrun"/>
          <w:rFonts w:cs="Arial"/>
          <w:color w:val="000000"/>
        </w:rPr>
        <w:t>In comparison to Ohio’s 2019-</w:t>
      </w:r>
      <w:r w:rsidR="001229B3">
        <w:rPr>
          <w:rStyle w:val="normaltextrun"/>
          <w:rFonts w:cs="Arial"/>
          <w:color w:val="000000"/>
        </w:rPr>
        <w:t>20</w:t>
      </w:r>
      <w:r w:rsidRPr="001229B3">
        <w:rPr>
          <w:rStyle w:val="normaltextrun"/>
          <w:rFonts w:cs="Arial"/>
          <w:color w:val="000000"/>
        </w:rPr>
        <w:t>20 performance, m</w:t>
      </w:r>
      <w:r w:rsidRPr="007D64F6">
        <w:rPr>
          <w:rFonts w:eastAsia="Calibri" w:cs="Arial"/>
        </w:rPr>
        <w:t>eeting the final target of 43.05% by 2025-</w:t>
      </w:r>
      <w:r w:rsidR="001229B3">
        <w:rPr>
          <w:rFonts w:eastAsia="Calibri" w:cs="Arial"/>
        </w:rPr>
        <w:t>20</w:t>
      </w:r>
      <w:r w:rsidRPr="001229B3">
        <w:rPr>
          <w:rFonts w:eastAsia="Calibri" w:cs="Arial"/>
        </w:rPr>
        <w:t>26</w:t>
      </w:r>
      <w:r w:rsidRPr="007D64F6">
        <w:rPr>
          <w:rFonts w:eastAsia="Calibri" w:cs="Arial"/>
        </w:rPr>
        <w:t xml:space="preserve"> will require </w:t>
      </w:r>
      <w:r w:rsidRPr="007D64F6">
        <w:rPr>
          <w:rFonts w:eastAsia="Calibri" w:cs="Arial"/>
          <w:b/>
          <w:bCs/>
        </w:rPr>
        <w:t>13</w:t>
      </w:r>
      <w:r w:rsidRPr="007D64F6">
        <w:rPr>
          <w:rFonts w:eastAsia="Calibri" w:cs="Arial"/>
        </w:rPr>
        <w:t xml:space="preserve"> more resolution sessions to be resolved through resolution settlement agreements.</w:t>
      </w:r>
    </w:p>
    <w:p w14:paraId="0C598D4F" w14:textId="70C2396E" w:rsidR="007D64F6" w:rsidRDefault="007D64F6" w:rsidP="007D64F6">
      <w:pPr>
        <w:pStyle w:val="Caption"/>
        <w:keepNext/>
      </w:pPr>
      <w:r>
        <w:t xml:space="preserve">Table </w:t>
      </w:r>
      <w:r>
        <w:fldChar w:fldCharType="begin"/>
      </w:r>
      <w:r>
        <w:instrText>SEQ Table \* ARABIC</w:instrText>
      </w:r>
      <w:r>
        <w:fldChar w:fldCharType="separate"/>
      </w:r>
      <w:r>
        <w:rPr>
          <w:noProof/>
        </w:rPr>
        <w:t>5</w:t>
      </w:r>
      <w:r>
        <w:fldChar w:fldCharType="end"/>
      </w:r>
      <w:r>
        <w:t>. Proposed Target Table Option B – Indicator 15</w:t>
      </w:r>
    </w:p>
    <w:tbl>
      <w:tblPr>
        <w:tblStyle w:val="PlainTable1"/>
        <w:tblW w:w="5003" w:type="pct"/>
        <w:tblLook w:val="04A0" w:firstRow="1" w:lastRow="0" w:firstColumn="1" w:lastColumn="0" w:noHBand="0" w:noVBand="1"/>
        <w:tblCaption w:val="Proposed Target Table Option B Ind 15"/>
        <w:tblDescription w:val="This table displays the first set of proposed target options, Option B, for indicator 15."/>
      </w:tblPr>
      <w:tblGrid>
        <w:gridCol w:w="2652"/>
        <w:gridCol w:w="964"/>
        <w:gridCol w:w="898"/>
        <w:gridCol w:w="1047"/>
        <w:gridCol w:w="1047"/>
        <w:gridCol w:w="1047"/>
        <w:gridCol w:w="1047"/>
        <w:gridCol w:w="1047"/>
        <w:gridCol w:w="1047"/>
      </w:tblGrid>
      <w:tr w:rsidR="007D64F6" w:rsidRPr="007D64F6" w14:paraId="4CABA5A9" w14:textId="77777777" w:rsidTr="00864A65">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28" w:type="pct"/>
          </w:tcPr>
          <w:p w14:paraId="583E0B3F" w14:textId="77777777" w:rsidR="007D64F6" w:rsidRPr="007D64F6" w:rsidRDefault="007D64F6" w:rsidP="00864A65">
            <w:pPr>
              <w:spacing w:after="0"/>
              <w:jc w:val="center"/>
              <w:rPr>
                <w:sz w:val="18"/>
                <w:szCs w:val="18"/>
              </w:rPr>
            </w:pPr>
            <w:bookmarkStart w:id="11" w:name="Title_Proposed_Target_Table_Option_B"/>
            <w:bookmarkEnd w:id="11"/>
            <w:r w:rsidRPr="007D64F6">
              <w:rPr>
                <w:sz w:val="18"/>
                <w:szCs w:val="18"/>
              </w:rPr>
              <w:t>Indicator 15: Resolution Sessions</w:t>
            </w:r>
          </w:p>
        </w:tc>
        <w:tc>
          <w:tcPr>
            <w:tcW w:w="446" w:type="pct"/>
          </w:tcPr>
          <w:p w14:paraId="5F424886" w14:textId="51AF717D" w:rsidR="007D64F6" w:rsidRPr="007D64F6" w:rsidRDefault="007D64F6" w:rsidP="00864A6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2005-</w:t>
            </w:r>
            <w:r w:rsidR="001229B3">
              <w:rPr>
                <w:sz w:val="18"/>
                <w:szCs w:val="18"/>
              </w:rPr>
              <w:t>20</w:t>
            </w:r>
            <w:r w:rsidRPr="007D64F6">
              <w:rPr>
                <w:sz w:val="18"/>
                <w:szCs w:val="18"/>
              </w:rPr>
              <w:t>06</w:t>
            </w:r>
          </w:p>
          <w:p w14:paraId="0CE53851" w14:textId="77777777" w:rsidR="007D64F6" w:rsidRPr="007D64F6" w:rsidRDefault="007D64F6" w:rsidP="00864A6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Baseline</w:t>
            </w:r>
          </w:p>
        </w:tc>
        <w:tc>
          <w:tcPr>
            <w:tcW w:w="416" w:type="pct"/>
          </w:tcPr>
          <w:p w14:paraId="50AE23A9" w14:textId="1F5B7198" w:rsidR="007D64F6" w:rsidRPr="007D64F6" w:rsidRDefault="007D64F6" w:rsidP="00864A6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2019-</w:t>
            </w:r>
            <w:r w:rsidR="001229B3">
              <w:rPr>
                <w:sz w:val="18"/>
                <w:szCs w:val="18"/>
              </w:rPr>
              <w:t>20</w:t>
            </w:r>
            <w:r w:rsidRPr="007D64F6">
              <w:rPr>
                <w:sz w:val="18"/>
                <w:szCs w:val="18"/>
              </w:rPr>
              <w:t>20</w:t>
            </w:r>
          </w:p>
          <w:p w14:paraId="439AF8FD" w14:textId="77777777" w:rsidR="007D64F6" w:rsidRPr="007D64F6" w:rsidRDefault="007D64F6" w:rsidP="00864A6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Data</w:t>
            </w:r>
          </w:p>
        </w:tc>
        <w:tc>
          <w:tcPr>
            <w:tcW w:w="485" w:type="pct"/>
          </w:tcPr>
          <w:p w14:paraId="2B4EDFA6" w14:textId="2EC96206" w:rsidR="007D64F6" w:rsidRPr="007D64F6" w:rsidRDefault="007D64F6" w:rsidP="00864A6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2020-</w:t>
            </w:r>
            <w:r w:rsidR="001229B3">
              <w:rPr>
                <w:sz w:val="18"/>
                <w:szCs w:val="18"/>
              </w:rPr>
              <w:t>20</w:t>
            </w:r>
            <w:r w:rsidRPr="007D64F6">
              <w:rPr>
                <w:sz w:val="18"/>
                <w:szCs w:val="18"/>
              </w:rPr>
              <w:t>21</w:t>
            </w:r>
          </w:p>
          <w:p w14:paraId="0BE69FB3" w14:textId="77777777" w:rsidR="007D64F6" w:rsidRPr="007D64F6" w:rsidRDefault="007D64F6" w:rsidP="00864A6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Proposed Target</w:t>
            </w:r>
          </w:p>
        </w:tc>
        <w:tc>
          <w:tcPr>
            <w:tcW w:w="485" w:type="pct"/>
          </w:tcPr>
          <w:p w14:paraId="298958F1" w14:textId="7D2D2FB7" w:rsidR="007D64F6" w:rsidRPr="007D64F6" w:rsidRDefault="007D64F6" w:rsidP="00864A6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2021-</w:t>
            </w:r>
            <w:r w:rsidR="001229B3">
              <w:rPr>
                <w:sz w:val="18"/>
                <w:szCs w:val="18"/>
              </w:rPr>
              <w:t>20</w:t>
            </w:r>
            <w:r w:rsidRPr="007D64F6">
              <w:rPr>
                <w:sz w:val="18"/>
                <w:szCs w:val="18"/>
              </w:rPr>
              <w:t>22</w:t>
            </w:r>
          </w:p>
          <w:p w14:paraId="1525D0E6" w14:textId="77777777" w:rsidR="007D64F6" w:rsidRPr="007D64F6" w:rsidRDefault="007D64F6" w:rsidP="00864A6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Proposed Target</w:t>
            </w:r>
          </w:p>
        </w:tc>
        <w:tc>
          <w:tcPr>
            <w:tcW w:w="485" w:type="pct"/>
          </w:tcPr>
          <w:p w14:paraId="66CBB5A2" w14:textId="2C78C06E" w:rsidR="007D64F6" w:rsidRPr="007D64F6" w:rsidRDefault="007D64F6" w:rsidP="00864A6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2022-</w:t>
            </w:r>
            <w:r w:rsidR="001229B3">
              <w:rPr>
                <w:sz w:val="18"/>
                <w:szCs w:val="18"/>
              </w:rPr>
              <w:t>20</w:t>
            </w:r>
            <w:r w:rsidRPr="007D64F6">
              <w:rPr>
                <w:sz w:val="18"/>
                <w:szCs w:val="18"/>
              </w:rPr>
              <w:t>23 Proposed Target</w:t>
            </w:r>
          </w:p>
        </w:tc>
        <w:tc>
          <w:tcPr>
            <w:tcW w:w="485" w:type="pct"/>
          </w:tcPr>
          <w:p w14:paraId="3003FCE4" w14:textId="1B73FF86" w:rsidR="007D64F6" w:rsidRPr="007D64F6" w:rsidRDefault="007D64F6" w:rsidP="00864A6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2023-</w:t>
            </w:r>
            <w:r w:rsidR="001229B3">
              <w:rPr>
                <w:sz w:val="18"/>
                <w:szCs w:val="18"/>
              </w:rPr>
              <w:t>20</w:t>
            </w:r>
            <w:r w:rsidRPr="007D64F6">
              <w:rPr>
                <w:sz w:val="18"/>
                <w:szCs w:val="18"/>
              </w:rPr>
              <w:t>24 Proposed Target</w:t>
            </w:r>
          </w:p>
        </w:tc>
        <w:tc>
          <w:tcPr>
            <w:tcW w:w="485" w:type="pct"/>
          </w:tcPr>
          <w:p w14:paraId="24098608" w14:textId="3676A85E" w:rsidR="007D64F6" w:rsidRPr="007D64F6" w:rsidRDefault="007D64F6" w:rsidP="00864A6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2024-</w:t>
            </w:r>
            <w:r w:rsidR="001229B3">
              <w:rPr>
                <w:sz w:val="18"/>
                <w:szCs w:val="18"/>
              </w:rPr>
              <w:t>20</w:t>
            </w:r>
            <w:r w:rsidRPr="007D64F6">
              <w:rPr>
                <w:sz w:val="18"/>
                <w:szCs w:val="18"/>
              </w:rPr>
              <w:t>25 Proposed Target</w:t>
            </w:r>
          </w:p>
        </w:tc>
        <w:tc>
          <w:tcPr>
            <w:tcW w:w="485" w:type="pct"/>
          </w:tcPr>
          <w:p w14:paraId="1C679429" w14:textId="25FE353C" w:rsidR="007D64F6" w:rsidRPr="007D64F6" w:rsidRDefault="007D64F6" w:rsidP="00864A6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2025-</w:t>
            </w:r>
            <w:r w:rsidR="001229B3">
              <w:rPr>
                <w:sz w:val="18"/>
                <w:szCs w:val="18"/>
              </w:rPr>
              <w:t>20</w:t>
            </w:r>
            <w:r w:rsidRPr="007D64F6">
              <w:rPr>
                <w:sz w:val="18"/>
                <w:szCs w:val="18"/>
              </w:rPr>
              <w:t>26 Proposed Target</w:t>
            </w:r>
          </w:p>
        </w:tc>
      </w:tr>
      <w:tr w:rsidR="007D64F6" w14:paraId="3DCB647D" w14:textId="77777777" w:rsidTr="006704D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228" w:type="pct"/>
          </w:tcPr>
          <w:p w14:paraId="6FFF2A25" w14:textId="77777777" w:rsidR="007D64F6" w:rsidRPr="007D64F6" w:rsidRDefault="007D64F6" w:rsidP="007D64F6">
            <w:pPr>
              <w:spacing w:after="0"/>
              <w:jc w:val="center"/>
              <w:rPr>
                <w:b w:val="0"/>
                <w:bCs w:val="0"/>
              </w:rPr>
            </w:pPr>
            <w:r w:rsidRPr="007D64F6">
              <w:rPr>
                <w:b w:val="0"/>
                <w:bCs w:val="0"/>
                <w:sz w:val="20"/>
                <w:szCs w:val="20"/>
              </w:rPr>
              <w:t>Percentage of hearing requests that went to resolution sessions that were resolved through resolution settlement agreements</w:t>
            </w:r>
          </w:p>
        </w:tc>
        <w:tc>
          <w:tcPr>
            <w:tcW w:w="446" w:type="pct"/>
            <w:vAlign w:val="center"/>
          </w:tcPr>
          <w:p w14:paraId="2B00C0E8" w14:textId="34579495" w:rsidR="007D64F6" w:rsidRDefault="007D64F6" w:rsidP="006704DA">
            <w:pPr>
              <w:spacing w:after="0"/>
              <w:jc w:val="center"/>
              <w:cnfStyle w:val="000000100000" w:firstRow="0" w:lastRow="0" w:firstColumn="0" w:lastColumn="0" w:oddVBand="0" w:evenVBand="0" w:oddHBand="1" w:evenHBand="0" w:firstRowFirstColumn="0" w:firstRowLastColumn="0" w:lastRowFirstColumn="0" w:lastRowLastColumn="0"/>
            </w:pPr>
            <w:r>
              <w:t>43.04%</w:t>
            </w:r>
          </w:p>
        </w:tc>
        <w:tc>
          <w:tcPr>
            <w:tcW w:w="416" w:type="pct"/>
            <w:vAlign w:val="center"/>
          </w:tcPr>
          <w:p w14:paraId="56F55AAC" w14:textId="5CBA083F" w:rsidR="007D64F6" w:rsidRDefault="007D64F6" w:rsidP="006704DA">
            <w:pPr>
              <w:spacing w:after="0"/>
              <w:jc w:val="center"/>
              <w:cnfStyle w:val="000000100000" w:firstRow="0" w:lastRow="0" w:firstColumn="0" w:lastColumn="0" w:oddVBand="0" w:evenVBand="0" w:oddHBand="1" w:evenHBand="0" w:firstRowFirstColumn="0" w:firstRowLastColumn="0" w:lastRowFirstColumn="0" w:lastRowLastColumn="0"/>
            </w:pPr>
            <w:r>
              <w:t>0.00%</w:t>
            </w:r>
          </w:p>
        </w:tc>
        <w:tc>
          <w:tcPr>
            <w:tcW w:w="485" w:type="pct"/>
            <w:vAlign w:val="center"/>
          </w:tcPr>
          <w:p w14:paraId="1DA462E3" w14:textId="626BF641" w:rsidR="007D64F6" w:rsidRDefault="007D64F6" w:rsidP="006704DA">
            <w:pPr>
              <w:spacing w:after="0"/>
              <w:jc w:val="center"/>
              <w:cnfStyle w:val="000000100000" w:firstRow="0" w:lastRow="0" w:firstColumn="0" w:lastColumn="0" w:oddVBand="0" w:evenVBand="0" w:oddHBand="1" w:evenHBand="0" w:firstRowFirstColumn="0" w:firstRowLastColumn="0" w:lastRowFirstColumn="0" w:lastRowLastColumn="0"/>
            </w:pPr>
            <w:r>
              <w:t>8.00%</w:t>
            </w:r>
          </w:p>
        </w:tc>
        <w:tc>
          <w:tcPr>
            <w:tcW w:w="485" w:type="pct"/>
            <w:vAlign w:val="center"/>
          </w:tcPr>
          <w:p w14:paraId="46724F3E" w14:textId="53A62339" w:rsidR="007D64F6" w:rsidRDefault="007D64F6" w:rsidP="006704DA">
            <w:pPr>
              <w:spacing w:after="0"/>
              <w:jc w:val="center"/>
              <w:cnfStyle w:val="000000100000" w:firstRow="0" w:lastRow="0" w:firstColumn="0" w:lastColumn="0" w:oddVBand="0" w:evenVBand="0" w:oddHBand="1" w:evenHBand="0" w:firstRowFirstColumn="0" w:firstRowLastColumn="0" w:lastRowFirstColumn="0" w:lastRowLastColumn="0"/>
            </w:pPr>
            <w:r>
              <w:t>16.00%</w:t>
            </w:r>
          </w:p>
        </w:tc>
        <w:tc>
          <w:tcPr>
            <w:tcW w:w="485" w:type="pct"/>
            <w:vAlign w:val="center"/>
          </w:tcPr>
          <w:p w14:paraId="2A56E0E1" w14:textId="13354272" w:rsidR="007D64F6" w:rsidRDefault="007D64F6" w:rsidP="006704DA">
            <w:pPr>
              <w:spacing w:after="0"/>
              <w:jc w:val="center"/>
              <w:cnfStyle w:val="000000100000" w:firstRow="0" w:lastRow="0" w:firstColumn="0" w:lastColumn="0" w:oddVBand="0" w:evenVBand="0" w:oddHBand="1" w:evenHBand="0" w:firstRowFirstColumn="0" w:firstRowLastColumn="0" w:lastRowFirstColumn="0" w:lastRowLastColumn="0"/>
            </w:pPr>
            <w:r>
              <w:t>24.00%</w:t>
            </w:r>
          </w:p>
        </w:tc>
        <w:tc>
          <w:tcPr>
            <w:tcW w:w="485" w:type="pct"/>
            <w:vAlign w:val="center"/>
          </w:tcPr>
          <w:p w14:paraId="61FDEC08" w14:textId="0615ECAD" w:rsidR="007D64F6" w:rsidRDefault="007D64F6" w:rsidP="006704DA">
            <w:pPr>
              <w:spacing w:after="0"/>
              <w:jc w:val="center"/>
              <w:cnfStyle w:val="000000100000" w:firstRow="0" w:lastRow="0" w:firstColumn="0" w:lastColumn="0" w:oddVBand="0" w:evenVBand="0" w:oddHBand="1" w:evenHBand="0" w:firstRowFirstColumn="0" w:firstRowLastColumn="0" w:lastRowFirstColumn="0" w:lastRowLastColumn="0"/>
            </w:pPr>
            <w:r>
              <w:t>32.00%</w:t>
            </w:r>
          </w:p>
        </w:tc>
        <w:tc>
          <w:tcPr>
            <w:tcW w:w="485" w:type="pct"/>
            <w:vAlign w:val="center"/>
          </w:tcPr>
          <w:p w14:paraId="6554D601" w14:textId="3D56B935" w:rsidR="007D64F6" w:rsidRDefault="007D64F6" w:rsidP="006704DA">
            <w:pPr>
              <w:spacing w:after="0"/>
              <w:jc w:val="center"/>
              <w:cnfStyle w:val="000000100000" w:firstRow="0" w:lastRow="0" w:firstColumn="0" w:lastColumn="0" w:oddVBand="0" w:evenVBand="0" w:oddHBand="1" w:evenHBand="0" w:firstRowFirstColumn="0" w:firstRowLastColumn="0" w:lastRowFirstColumn="0" w:lastRowLastColumn="0"/>
            </w:pPr>
            <w:r>
              <w:t>40.00%</w:t>
            </w:r>
          </w:p>
        </w:tc>
        <w:tc>
          <w:tcPr>
            <w:tcW w:w="485" w:type="pct"/>
            <w:vAlign w:val="center"/>
          </w:tcPr>
          <w:p w14:paraId="02A2E22C" w14:textId="3B364F61" w:rsidR="007D64F6" w:rsidRDefault="007D64F6" w:rsidP="006704DA">
            <w:pPr>
              <w:spacing w:after="0"/>
              <w:jc w:val="center"/>
              <w:cnfStyle w:val="000000100000" w:firstRow="0" w:lastRow="0" w:firstColumn="0" w:lastColumn="0" w:oddVBand="0" w:evenVBand="0" w:oddHBand="1" w:evenHBand="0" w:firstRowFirstColumn="0" w:firstRowLastColumn="0" w:lastRowFirstColumn="0" w:lastRowLastColumn="0"/>
            </w:pPr>
            <w:r>
              <w:t>48.00%</w:t>
            </w:r>
          </w:p>
        </w:tc>
      </w:tr>
    </w:tbl>
    <w:p w14:paraId="6C6008B9" w14:textId="79F42AE0" w:rsidR="00CF4E24" w:rsidRDefault="00CF4E24" w:rsidP="00CF4E24">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3C64DC72" w14:textId="77777777" w:rsidR="007D64F6" w:rsidRPr="007D64F6" w:rsidRDefault="007D64F6" w:rsidP="007D64F6">
      <w:pPr>
        <w:pStyle w:val="ListParagraph"/>
        <w:numPr>
          <w:ilvl w:val="0"/>
          <w:numId w:val="28"/>
        </w:numPr>
        <w:spacing w:before="120"/>
        <w:rPr>
          <w:rFonts w:cs="Arial"/>
        </w:rPr>
      </w:pPr>
      <w:r w:rsidRPr="007D64F6">
        <w:rPr>
          <w:rFonts w:cs="Arial"/>
        </w:rPr>
        <w:t>Option B is a more rigorous option in comparison to Option A.</w:t>
      </w:r>
    </w:p>
    <w:p w14:paraId="0469C84D" w14:textId="23F822CC" w:rsidR="007D64F6" w:rsidRPr="00430B97" w:rsidRDefault="007D64F6" w:rsidP="007D64F6">
      <w:pPr>
        <w:pStyle w:val="ListParagraph"/>
        <w:numPr>
          <w:ilvl w:val="0"/>
          <w:numId w:val="28"/>
        </w:numPr>
        <w:spacing w:before="120"/>
      </w:pPr>
      <w:r w:rsidRPr="00430B97">
        <w:t>Percentages historically</w:t>
      </w:r>
      <w:r>
        <w:t xml:space="preserve"> </w:t>
      </w:r>
      <w:r w:rsidR="001229B3">
        <w:t xml:space="preserve">have </w:t>
      </w:r>
      <w:r>
        <w:t>been</w:t>
      </w:r>
      <w:r w:rsidRPr="00430B97">
        <w:t xml:space="preserve"> above the baseline except the two most recent years.</w:t>
      </w:r>
    </w:p>
    <w:p w14:paraId="6935DF01" w14:textId="2C3638C6" w:rsidR="007D64F6" w:rsidRPr="00A51926" w:rsidRDefault="007D64F6" w:rsidP="007D64F6">
      <w:pPr>
        <w:pStyle w:val="ListParagraph"/>
        <w:numPr>
          <w:ilvl w:val="0"/>
          <w:numId w:val="28"/>
        </w:numPr>
        <w:spacing w:before="120"/>
      </w:pPr>
      <w:r>
        <w:t>The targets i</w:t>
      </w:r>
      <w:r w:rsidRPr="00430B97">
        <w:t>ncrease</w:t>
      </w:r>
      <w:r>
        <w:t xml:space="preserve"> by 8% each year</w:t>
      </w:r>
      <w:r w:rsidRPr="00430B97">
        <w:t xml:space="preserve"> from the 2019-</w:t>
      </w:r>
      <w:r w:rsidR="001229B3">
        <w:t>20</w:t>
      </w:r>
      <w:r w:rsidRPr="00430B97">
        <w:t xml:space="preserve">20 performance to </w:t>
      </w:r>
      <w:r>
        <w:t>end above the 43.04% baseline. The increase reflects an anticipated return to pre</w:t>
      </w:r>
      <w:r w:rsidRPr="00430B97">
        <w:t>pandemic numbers.</w:t>
      </w:r>
    </w:p>
    <w:p w14:paraId="271DC6EB" w14:textId="3873CEA5" w:rsidR="002B213C" w:rsidRPr="001229B3" w:rsidRDefault="007D64F6" w:rsidP="007D64F6">
      <w:pPr>
        <w:pStyle w:val="ListParagraph"/>
        <w:numPr>
          <w:ilvl w:val="0"/>
          <w:numId w:val="28"/>
        </w:numPr>
        <w:spacing w:before="120"/>
      </w:pPr>
      <w:r w:rsidRPr="001229B3">
        <w:rPr>
          <w:rStyle w:val="normaltextrun"/>
          <w:rFonts w:cs="Arial"/>
          <w:color w:val="000000"/>
        </w:rPr>
        <w:t>In comparison to Ohio’s 2019-</w:t>
      </w:r>
      <w:r w:rsidR="001229B3">
        <w:rPr>
          <w:rStyle w:val="normaltextrun"/>
          <w:rFonts w:cs="Arial"/>
          <w:color w:val="000000"/>
        </w:rPr>
        <w:t>20</w:t>
      </w:r>
      <w:r w:rsidRPr="001229B3">
        <w:rPr>
          <w:rStyle w:val="normaltextrun"/>
          <w:rFonts w:cs="Arial"/>
          <w:color w:val="000000"/>
        </w:rPr>
        <w:t>20 performance, m</w:t>
      </w:r>
      <w:r w:rsidRPr="007D64F6">
        <w:rPr>
          <w:rFonts w:eastAsia="Calibri" w:cs="Arial"/>
        </w:rPr>
        <w:t>eeting the final target of 48% by 2025-</w:t>
      </w:r>
      <w:r w:rsidR="001229B3">
        <w:rPr>
          <w:rFonts w:eastAsia="Calibri" w:cs="Arial"/>
        </w:rPr>
        <w:t>20</w:t>
      </w:r>
      <w:r w:rsidRPr="001229B3">
        <w:rPr>
          <w:rFonts w:eastAsia="Calibri" w:cs="Arial"/>
        </w:rPr>
        <w:t>26</w:t>
      </w:r>
      <w:r w:rsidRPr="007D64F6">
        <w:rPr>
          <w:rFonts w:eastAsia="Calibri" w:cs="Arial"/>
        </w:rPr>
        <w:t xml:space="preserve"> will require </w:t>
      </w:r>
      <w:r w:rsidRPr="007D64F6">
        <w:rPr>
          <w:rFonts w:eastAsia="Calibri" w:cs="Arial"/>
          <w:b/>
          <w:bCs/>
        </w:rPr>
        <w:t>14</w:t>
      </w:r>
      <w:r w:rsidRPr="007D64F6">
        <w:rPr>
          <w:rFonts w:eastAsia="Calibri" w:cs="Arial"/>
        </w:rPr>
        <w:t xml:space="preserve"> more resolution sessions to be resolved through resolution settlement agreements.</w:t>
      </w:r>
    </w:p>
    <w:sectPr w:rsidR="002B213C" w:rsidRPr="001229B3" w:rsidSect="001229B3">
      <w:headerReference w:type="default" r:id="rId13"/>
      <w:footerReference w:type="default" r:id="rId14"/>
      <w:pgSz w:w="12240" w:h="15840"/>
      <w:pgMar w:top="720" w:right="72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8AEB" w14:textId="77777777" w:rsidR="00BB53D8" w:rsidRDefault="00BB53D8" w:rsidP="00C46BFB">
      <w:r>
        <w:separator/>
      </w:r>
    </w:p>
  </w:endnote>
  <w:endnote w:type="continuationSeparator" w:id="0">
    <w:p w14:paraId="40DD0689" w14:textId="77777777" w:rsidR="00BB53D8" w:rsidRDefault="00BB53D8" w:rsidP="00C46BFB">
      <w:r>
        <w:continuationSeparator/>
      </w:r>
    </w:p>
  </w:endnote>
  <w:endnote w:type="continuationNotice" w:id="1">
    <w:p w14:paraId="7C8E88C7" w14:textId="77777777" w:rsidR="00BB53D8" w:rsidRDefault="00BB5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5971" w14:textId="50988AFC" w:rsidR="00220677" w:rsidRPr="000D6225" w:rsidRDefault="00C37D2A" w:rsidP="00F06C04">
    <w:pPr>
      <w:pStyle w:val="Footer"/>
    </w:pPr>
    <w:r>
      <w:rPr>
        <w:noProof/>
      </w:rPr>
      <w:drawing>
        <wp:anchor distT="0" distB="0" distL="114300" distR="114300" simplePos="0" relativeHeight="251658240" behindDoc="1" locked="0" layoutInCell="1" allowOverlap="1" wp14:anchorId="60E911B2" wp14:editId="5E9675B9">
          <wp:simplePos x="0" y="0"/>
          <wp:positionH relativeFrom="page">
            <wp:align>left</wp:align>
          </wp:positionH>
          <wp:positionV relativeFrom="page">
            <wp:posOffset>9070002</wp:posOffset>
          </wp:positionV>
          <wp:extent cx="7785100" cy="989631"/>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5100" cy="989631"/>
                  </a:xfrm>
                  <a:prstGeom prst="rect">
                    <a:avLst/>
                  </a:prstGeom>
                </pic:spPr>
              </pic:pic>
            </a:graphicData>
          </a:graphic>
          <wp14:sizeRelH relativeFrom="page">
            <wp14:pctWidth>0</wp14:pctWidth>
          </wp14:sizeRelH>
          <wp14:sizeRelV relativeFrom="page">
            <wp14:pctHeight>0</wp14:pctHeight>
          </wp14:sizeRelV>
        </wp:anchor>
      </w:drawing>
    </w:r>
    <w:r w:rsidRPr="00FC0FE1">
      <w:rPr>
        <w:rStyle w:val="PageNumber"/>
        <w:color w:val="FFFFFF" w:themeColor="background1"/>
        <w:sz w:val="20"/>
        <w:szCs w:val="20"/>
      </w:rPr>
      <w:t xml:space="preserve">Page </w:t>
    </w:r>
    <w:r w:rsidRPr="00FC0FE1">
      <w:rPr>
        <w:rStyle w:val="PageNumber"/>
        <w:color w:val="FFFFFF" w:themeColor="background1"/>
        <w:sz w:val="20"/>
        <w:szCs w:val="20"/>
      </w:rPr>
      <w:fldChar w:fldCharType="begin"/>
    </w:r>
    <w:r w:rsidRPr="00FC0FE1">
      <w:rPr>
        <w:rStyle w:val="PageNumber"/>
        <w:color w:val="FFFFFF" w:themeColor="background1"/>
        <w:sz w:val="20"/>
        <w:szCs w:val="20"/>
      </w:rPr>
      <w:instrText xml:space="preserve"> PAGE </w:instrText>
    </w:r>
    <w:r w:rsidRPr="00FC0FE1">
      <w:rPr>
        <w:rStyle w:val="PageNumber"/>
        <w:color w:val="FFFFFF" w:themeColor="background1"/>
        <w:sz w:val="20"/>
        <w:szCs w:val="20"/>
      </w:rPr>
      <w:fldChar w:fldCharType="separate"/>
    </w:r>
    <w:r w:rsidRPr="00FC0FE1">
      <w:rPr>
        <w:rStyle w:val="PageNumber"/>
        <w:color w:val="FFFFFF" w:themeColor="background1"/>
        <w:sz w:val="20"/>
        <w:szCs w:val="20"/>
      </w:rPr>
      <w:t>1</w:t>
    </w:r>
    <w:r w:rsidRPr="00FC0FE1">
      <w:rPr>
        <w:rStyle w:val="PageNumber"/>
        <w:color w:val="FFFFFF" w:themeColor="background1"/>
        <w:sz w:val="20"/>
        <w:szCs w:val="20"/>
      </w:rPr>
      <w:fldChar w:fldCharType="end"/>
    </w:r>
    <w:r w:rsidRPr="00FC0FE1">
      <w:rPr>
        <w:rFonts w:cstheme="minorHAnsi"/>
        <w:color w:val="FFFFFF" w:themeColor="background1"/>
        <w:sz w:val="20"/>
        <w:szCs w:val="20"/>
      </w:rPr>
      <w:t>| Indicator 1</w:t>
    </w:r>
    <w:r w:rsidR="009E568A" w:rsidRPr="00FC0FE1">
      <w:rPr>
        <w:rFonts w:cstheme="minorHAnsi"/>
        <w:color w:val="FFFFFF" w:themeColor="background1"/>
        <w:sz w:val="20"/>
        <w:szCs w:val="20"/>
      </w:rPr>
      <w:t>5</w:t>
    </w:r>
    <w:r w:rsidRPr="00FC0FE1">
      <w:rPr>
        <w:rFonts w:cstheme="minorHAnsi"/>
        <w:color w:val="FFFFFF" w:themeColor="background1"/>
        <w:sz w:val="20"/>
        <w:szCs w:val="20"/>
      </w:rPr>
      <w:t xml:space="preserve"> Fact Sheet |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A7E6" w14:textId="77777777" w:rsidR="00BB53D8" w:rsidRDefault="00BB53D8" w:rsidP="00C46BFB">
      <w:r>
        <w:separator/>
      </w:r>
    </w:p>
  </w:footnote>
  <w:footnote w:type="continuationSeparator" w:id="0">
    <w:p w14:paraId="677FD447" w14:textId="77777777" w:rsidR="00BB53D8" w:rsidRDefault="00BB53D8" w:rsidP="00C46BFB">
      <w:r>
        <w:continuationSeparator/>
      </w:r>
    </w:p>
  </w:footnote>
  <w:footnote w:type="continuationNotice" w:id="1">
    <w:p w14:paraId="412AD259" w14:textId="77777777" w:rsidR="00BB53D8" w:rsidRDefault="00BB5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BD0D" w14:textId="059D1139" w:rsidR="00220677" w:rsidRPr="00CB645A" w:rsidRDefault="00C268F3" w:rsidP="00027E29">
    <w:pPr>
      <w:pStyle w:val="Header"/>
      <w:tabs>
        <w:tab w:val="clear" w:pos="4680"/>
        <w:tab w:val="center" w:pos="3600"/>
        <w:tab w:val="right" w:pos="9000"/>
      </w:tabs>
      <w:ind w:left="2970" w:hanging="2970"/>
      <w:jc w:val="right"/>
    </w:pPr>
    <w:r>
      <w:rPr>
        <w:noProof/>
      </w:rPr>
      <w:drawing>
        <wp:anchor distT="0" distB="0" distL="114300" distR="114300" simplePos="0" relativeHeight="251658241" behindDoc="1" locked="0" layoutInCell="1" allowOverlap="1" wp14:anchorId="5C7BBFED" wp14:editId="1DCBCC93">
          <wp:simplePos x="0" y="0"/>
          <wp:positionH relativeFrom="page">
            <wp:posOffset>-9525</wp:posOffset>
          </wp:positionH>
          <wp:positionV relativeFrom="paragraph">
            <wp:posOffset>-466725</wp:posOffset>
          </wp:positionV>
          <wp:extent cx="7771086" cy="117672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BCD"/>
    <w:multiLevelType w:val="hybridMultilevel"/>
    <w:tmpl w:val="1576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6B8"/>
    <w:multiLevelType w:val="hybridMultilevel"/>
    <w:tmpl w:val="5A9A3978"/>
    <w:lvl w:ilvl="0" w:tplc="3DEE398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CA2C63"/>
    <w:multiLevelType w:val="hybridMultilevel"/>
    <w:tmpl w:val="15F8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0656A"/>
    <w:multiLevelType w:val="hybridMultilevel"/>
    <w:tmpl w:val="22B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2705A"/>
    <w:multiLevelType w:val="hybridMultilevel"/>
    <w:tmpl w:val="8B9677A6"/>
    <w:lvl w:ilvl="0" w:tplc="9AAEA39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E3D06"/>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742B4"/>
    <w:multiLevelType w:val="hybridMultilevel"/>
    <w:tmpl w:val="97A29806"/>
    <w:lvl w:ilvl="0" w:tplc="82AC9AD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46331"/>
    <w:multiLevelType w:val="hybridMultilevel"/>
    <w:tmpl w:val="60A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C0CBF"/>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F63E6"/>
    <w:multiLevelType w:val="hybridMultilevel"/>
    <w:tmpl w:val="8FE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B461C"/>
    <w:multiLevelType w:val="hybridMultilevel"/>
    <w:tmpl w:val="CE0413EA"/>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83928"/>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A766E"/>
    <w:multiLevelType w:val="hybridMultilevel"/>
    <w:tmpl w:val="5F5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F29F9"/>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55D14"/>
    <w:multiLevelType w:val="hybridMultilevel"/>
    <w:tmpl w:val="FCEA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F16FA"/>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9318E"/>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D07E9"/>
    <w:multiLevelType w:val="hybridMultilevel"/>
    <w:tmpl w:val="987E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B4FA1"/>
    <w:multiLevelType w:val="hybridMultilevel"/>
    <w:tmpl w:val="2276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055195"/>
    <w:multiLevelType w:val="hybridMultilevel"/>
    <w:tmpl w:val="0EECC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CE7587"/>
    <w:multiLevelType w:val="hybridMultilevel"/>
    <w:tmpl w:val="A506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032BF"/>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12B49"/>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D6CC6"/>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C2F71"/>
    <w:multiLevelType w:val="hybridMultilevel"/>
    <w:tmpl w:val="9C863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CF415B"/>
    <w:multiLevelType w:val="hybridMultilevel"/>
    <w:tmpl w:val="1C88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35913"/>
    <w:multiLevelType w:val="hybridMultilevel"/>
    <w:tmpl w:val="E7125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2C1C3E"/>
    <w:multiLevelType w:val="hybridMultilevel"/>
    <w:tmpl w:val="7144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42354"/>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C59D3"/>
    <w:multiLevelType w:val="hybridMultilevel"/>
    <w:tmpl w:val="9404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5"/>
  </w:num>
  <w:num w:numId="4">
    <w:abstractNumId w:val="22"/>
  </w:num>
  <w:num w:numId="5">
    <w:abstractNumId w:val="5"/>
  </w:num>
  <w:num w:numId="6">
    <w:abstractNumId w:val="21"/>
  </w:num>
  <w:num w:numId="7">
    <w:abstractNumId w:val="13"/>
  </w:num>
  <w:num w:numId="8">
    <w:abstractNumId w:val="23"/>
  </w:num>
  <w:num w:numId="9">
    <w:abstractNumId w:val="8"/>
  </w:num>
  <w:num w:numId="10">
    <w:abstractNumId w:val="14"/>
  </w:num>
  <w:num w:numId="11">
    <w:abstractNumId w:val="3"/>
  </w:num>
  <w:num w:numId="12">
    <w:abstractNumId w:val="27"/>
  </w:num>
  <w:num w:numId="13">
    <w:abstractNumId w:val="16"/>
  </w:num>
  <w:num w:numId="14">
    <w:abstractNumId w:val="1"/>
  </w:num>
  <w:num w:numId="15">
    <w:abstractNumId w:val="4"/>
  </w:num>
  <w:num w:numId="16">
    <w:abstractNumId w:val="17"/>
  </w:num>
  <w:num w:numId="17">
    <w:abstractNumId w:val="7"/>
  </w:num>
  <w:num w:numId="18">
    <w:abstractNumId w:val="20"/>
  </w:num>
  <w:num w:numId="19">
    <w:abstractNumId w:val="24"/>
  </w:num>
  <w:num w:numId="20">
    <w:abstractNumId w:val="26"/>
  </w:num>
  <w:num w:numId="21">
    <w:abstractNumId w:val="18"/>
  </w:num>
  <w:num w:numId="22">
    <w:abstractNumId w:val="6"/>
  </w:num>
  <w:num w:numId="23">
    <w:abstractNumId w:val="29"/>
  </w:num>
  <w:num w:numId="24">
    <w:abstractNumId w:val="9"/>
  </w:num>
  <w:num w:numId="25">
    <w:abstractNumId w:val="0"/>
  </w:num>
  <w:num w:numId="26">
    <w:abstractNumId w:val="2"/>
  </w:num>
  <w:num w:numId="27">
    <w:abstractNumId w:val="19"/>
  </w:num>
  <w:num w:numId="28">
    <w:abstractNumId w:val="12"/>
  </w:num>
  <w:num w:numId="29">
    <w:abstractNumId w:val="10"/>
  </w:num>
  <w:num w:numId="3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B"/>
    <w:rsid w:val="00004227"/>
    <w:rsid w:val="00004B0E"/>
    <w:rsid w:val="00004E98"/>
    <w:rsid w:val="00005415"/>
    <w:rsid w:val="00005BB8"/>
    <w:rsid w:val="00006DD7"/>
    <w:rsid w:val="00013203"/>
    <w:rsid w:val="0001434D"/>
    <w:rsid w:val="0001616B"/>
    <w:rsid w:val="000165BB"/>
    <w:rsid w:val="00016782"/>
    <w:rsid w:val="00020402"/>
    <w:rsid w:val="00022CFF"/>
    <w:rsid w:val="0002319A"/>
    <w:rsid w:val="000272F5"/>
    <w:rsid w:val="00027E29"/>
    <w:rsid w:val="00035ED7"/>
    <w:rsid w:val="00036A9A"/>
    <w:rsid w:val="000379FE"/>
    <w:rsid w:val="000412D4"/>
    <w:rsid w:val="000458E6"/>
    <w:rsid w:val="00045EF3"/>
    <w:rsid w:val="00047F07"/>
    <w:rsid w:val="00051865"/>
    <w:rsid w:val="00056272"/>
    <w:rsid w:val="00056CA8"/>
    <w:rsid w:val="000623B7"/>
    <w:rsid w:val="0006354D"/>
    <w:rsid w:val="00066069"/>
    <w:rsid w:val="000676A3"/>
    <w:rsid w:val="00067937"/>
    <w:rsid w:val="000709FA"/>
    <w:rsid w:val="00071241"/>
    <w:rsid w:val="00072307"/>
    <w:rsid w:val="00074B25"/>
    <w:rsid w:val="00076379"/>
    <w:rsid w:val="00076A88"/>
    <w:rsid w:val="00082AD4"/>
    <w:rsid w:val="00083D5D"/>
    <w:rsid w:val="0008545D"/>
    <w:rsid w:val="00086A33"/>
    <w:rsid w:val="000871E1"/>
    <w:rsid w:val="000921B7"/>
    <w:rsid w:val="000926A3"/>
    <w:rsid w:val="000A34C4"/>
    <w:rsid w:val="000A3F6A"/>
    <w:rsid w:val="000A66B8"/>
    <w:rsid w:val="000B5970"/>
    <w:rsid w:val="000B5EC3"/>
    <w:rsid w:val="000B6C52"/>
    <w:rsid w:val="000C7595"/>
    <w:rsid w:val="000D08C3"/>
    <w:rsid w:val="000D1016"/>
    <w:rsid w:val="000D27B6"/>
    <w:rsid w:val="000D2B54"/>
    <w:rsid w:val="000D2B9A"/>
    <w:rsid w:val="000D360B"/>
    <w:rsid w:val="000D6225"/>
    <w:rsid w:val="000E16E2"/>
    <w:rsid w:val="000E34A9"/>
    <w:rsid w:val="000E3AB3"/>
    <w:rsid w:val="000E4EE1"/>
    <w:rsid w:val="000E536F"/>
    <w:rsid w:val="000F0798"/>
    <w:rsid w:val="000F0BE5"/>
    <w:rsid w:val="000F1068"/>
    <w:rsid w:val="000F1B59"/>
    <w:rsid w:val="000F2EC1"/>
    <w:rsid w:val="000F36AB"/>
    <w:rsid w:val="000F3B1C"/>
    <w:rsid w:val="001021A5"/>
    <w:rsid w:val="00103058"/>
    <w:rsid w:val="00105071"/>
    <w:rsid w:val="00107090"/>
    <w:rsid w:val="00111102"/>
    <w:rsid w:val="00111C0B"/>
    <w:rsid w:val="001229B3"/>
    <w:rsid w:val="00125B18"/>
    <w:rsid w:val="001261C9"/>
    <w:rsid w:val="00127AC0"/>
    <w:rsid w:val="00132769"/>
    <w:rsid w:val="00132AC2"/>
    <w:rsid w:val="001345FA"/>
    <w:rsid w:val="001356C8"/>
    <w:rsid w:val="00140F24"/>
    <w:rsid w:val="00141DF1"/>
    <w:rsid w:val="0014473B"/>
    <w:rsid w:val="00147A7D"/>
    <w:rsid w:val="001508EA"/>
    <w:rsid w:val="00150A9F"/>
    <w:rsid w:val="0015269E"/>
    <w:rsid w:val="00153862"/>
    <w:rsid w:val="00153FD6"/>
    <w:rsid w:val="001613E2"/>
    <w:rsid w:val="00163369"/>
    <w:rsid w:val="00165286"/>
    <w:rsid w:val="001671A8"/>
    <w:rsid w:val="00173A3B"/>
    <w:rsid w:val="00174211"/>
    <w:rsid w:val="00184C3C"/>
    <w:rsid w:val="00186153"/>
    <w:rsid w:val="0019403D"/>
    <w:rsid w:val="00196308"/>
    <w:rsid w:val="001978C8"/>
    <w:rsid w:val="001A01FD"/>
    <w:rsid w:val="001A1651"/>
    <w:rsid w:val="001A30A9"/>
    <w:rsid w:val="001A6223"/>
    <w:rsid w:val="001A7AE5"/>
    <w:rsid w:val="001B0813"/>
    <w:rsid w:val="001B1734"/>
    <w:rsid w:val="001B1B81"/>
    <w:rsid w:val="001B5286"/>
    <w:rsid w:val="001B6084"/>
    <w:rsid w:val="001B7122"/>
    <w:rsid w:val="001B7B68"/>
    <w:rsid w:val="001C565A"/>
    <w:rsid w:val="001C7105"/>
    <w:rsid w:val="001D0D3B"/>
    <w:rsid w:val="001D15C7"/>
    <w:rsid w:val="001D4112"/>
    <w:rsid w:val="001D47E9"/>
    <w:rsid w:val="001E0DE3"/>
    <w:rsid w:val="001E1074"/>
    <w:rsid w:val="001E3692"/>
    <w:rsid w:val="001F1CBB"/>
    <w:rsid w:val="001F1F07"/>
    <w:rsid w:val="001F2196"/>
    <w:rsid w:val="001F3A38"/>
    <w:rsid w:val="001F6005"/>
    <w:rsid w:val="00200DCD"/>
    <w:rsid w:val="00203397"/>
    <w:rsid w:val="002037A3"/>
    <w:rsid w:val="002052BA"/>
    <w:rsid w:val="00211DE7"/>
    <w:rsid w:val="002124FF"/>
    <w:rsid w:val="00213E65"/>
    <w:rsid w:val="00214DCD"/>
    <w:rsid w:val="00216277"/>
    <w:rsid w:val="00220677"/>
    <w:rsid w:val="002238A2"/>
    <w:rsid w:val="00230C36"/>
    <w:rsid w:val="0023157A"/>
    <w:rsid w:val="00234759"/>
    <w:rsid w:val="002368FA"/>
    <w:rsid w:val="002369E8"/>
    <w:rsid w:val="0024243D"/>
    <w:rsid w:val="00242BF2"/>
    <w:rsid w:val="0025083E"/>
    <w:rsid w:val="002525D3"/>
    <w:rsid w:val="00253342"/>
    <w:rsid w:val="00253517"/>
    <w:rsid w:val="00253A2D"/>
    <w:rsid w:val="002554EC"/>
    <w:rsid w:val="00255C3E"/>
    <w:rsid w:val="00256E84"/>
    <w:rsid w:val="002574A9"/>
    <w:rsid w:val="00260173"/>
    <w:rsid w:val="0026085F"/>
    <w:rsid w:val="002610E2"/>
    <w:rsid w:val="0026401D"/>
    <w:rsid w:val="00266A82"/>
    <w:rsid w:val="00272092"/>
    <w:rsid w:val="0027214A"/>
    <w:rsid w:val="002729A2"/>
    <w:rsid w:val="00276C71"/>
    <w:rsid w:val="002816F4"/>
    <w:rsid w:val="0028242F"/>
    <w:rsid w:val="0028378C"/>
    <w:rsid w:val="002873F9"/>
    <w:rsid w:val="0029299A"/>
    <w:rsid w:val="002948E6"/>
    <w:rsid w:val="00297589"/>
    <w:rsid w:val="002A75F7"/>
    <w:rsid w:val="002B213C"/>
    <w:rsid w:val="002B39EB"/>
    <w:rsid w:val="002B3A64"/>
    <w:rsid w:val="002B466A"/>
    <w:rsid w:val="002B48E9"/>
    <w:rsid w:val="002B6358"/>
    <w:rsid w:val="002B6406"/>
    <w:rsid w:val="002B6B0E"/>
    <w:rsid w:val="002B734A"/>
    <w:rsid w:val="002C4B17"/>
    <w:rsid w:val="002C70CE"/>
    <w:rsid w:val="002C70CF"/>
    <w:rsid w:val="002D13B0"/>
    <w:rsid w:val="002D5249"/>
    <w:rsid w:val="002D53B7"/>
    <w:rsid w:val="002D58C8"/>
    <w:rsid w:val="002D615E"/>
    <w:rsid w:val="002D7D96"/>
    <w:rsid w:val="002E21D0"/>
    <w:rsid w:val="002E4F26"/>
    <w:rsid w:val="002F0CBB"/>
    <w:rsid w:val="002F0E6E"/>
    <w:rsid w:val="002F53C3"/>
    <w:rsid w:val="002F7C0A"/>
    <w:rsid w:val="00300428"/>
    <w:rsid w:val="00304731"/>
    <w:rsid w:val="003211CC"/>
    <w:rsid w:val="00321B31"/>
    <w:rsid w:val="003229A6"/>
    <w:rsid w:val="003317ED"/>
    <w:rsid w:val="00332DCC"/>
    <w:rsid w:val="00333FEF"/>
    <w:rsid w:val="003347CC"/>
    <w:rsid w:val="00336E7C"/>
    <w:rsid w:val="0033786C"/>
    <w:rsid w:val="00340B29"/>
    <w:rsid w:val="00346C18"/>
    <w:rsid w:val="00347354"/>
    <w:rsid w:val="00347F48"/>
    <w:rsid w:val="003505F4"/>
    <w:rsid w:val="00351026"/>
    <w:rsid w:val="00352039"/>
    <w:rsid w:val="00352B6B"/>
    <w:rsid w:val="00354290"/>
    <w:rsid w:val="00354C44"/>
    <w:rsid w:val="00360F26"/>
    <w:rsid w:val="0036146C"/>
    <w:rsid w:val="003651C0"/>
    <w:rsid w:val="00365D48"/>
    <w:rsid w:val="00370C35"/>
    <w:rsid w:val="00370DD9"/>
    <w:rsid w:val="00371899"/>
    <w:rsid w:val="00373FD6"/>
    <w:rsid w:val="00375451"/>
    <w:rsid w:val="0038246F"/>
    <w:rsid w:val="0038395D"/>
    <w:rsid w:val="003926CD"/>
    <w:rsid w:val="00394960"/>
    <w:rsid w:val="00394BDC"/>
    <w:rsid w:val="00396B65"/>
    <w:rsid w:val="003970D4"/>
    <w:rsid w:val="003A1568"/>
    <w:rsid w:val="003A3621"/>
    <w:rsid w:val="003A4BF1"/>
    <w:rsid w:val="003B2C09"/>
    <w:rsid w:val="003B3C26"/>
    <w:rsid w:val="003B493D"/>
    <w:rsid w:val="003B6D0F"/>
    <w:rsid w:val="003C048C"/>
    <w:rsid w:val="003C0F2A"/>
    <w:rsid w:val="003C2AAB"/>
    <w:rsid w:val="003C4918"/>
    <w:rsid w:val="003C4BD1"/>
    <w:rsid w:val="003D29A1"/>
    <w:rsid w:val="003D6EB5"/>
    <w:rsid w:val="003E26B1"/>
    <w:rsid w:val="003E33DB"/>
    <w:rsid w:val="003F3660"/>
    <w:rsid w:val="003F431E"/>
    <w:rsid w:val="003F46BB"/>
    <w:rsid w:val="00400AAB"/>
    <w:rsid w:val="00400BC6"/>
    <w:rsid w:val="004013E8"/>
    <w:rsid w:val="0041093A"/>
    <w:rsid w:val="004135C2"/>
    <w:rsid w:val="00416907"/>
    <w:rsid w:val="004178C9"/>
    <w:rsid w:val="004230FF"/>
    <w:rsid w:val="00423B6A"/>
    <w:rsid w:val="00425332"/>
    <w:rsid w:val="00425DFC"/>
    <w:rsid w:val="00430446"/>
    <w:rsid w:val="00430B97"/>
    <w:rsid w:val="00432147"/>
    <w:rsid w:val="00433198"/>
    <w:rsid w:val="00437A6C"/>
    <w:rsid w:val="00444561"/>
    <w:rsid w:val="00444954"/>
    <w:rsid w:val="00444C92"/>
    <w:rsid w:val="00447B45"/>
    <w:rsid w:val="0045079C"/>
    <w:rsid w:val="00451830"/>
    <w:rsid w:val="004518FF"/>
    <w:rsid w:val="00453834"/>
    <w:rsid w:val="00454762"/>
    <w:rsid w:val="00454F79"/>
    <w:rsid w:val="004624EC"/>
    <w:rsid w:val="00464D22"/>
    <w:rsid w:val="00465CA1"/>
    <w:rsid w:val="00467607"/>
    <w:rsid w:val="004676F8"/>
    <w:rsid w:val="00467BDE"/>
    <w:rsid w:val="004727F1"/>
    <w:rsid w:val="004802C5"/>
    <w:rsid w:val="004866B9"/>
    <w:rsid w:val="00490176"/>
    <w:rsid w:val="004930D4"/>
    <w:rsid w:val="004A0E75"/>
    <w:rsid w:val="004A2B2B"/>
    <w:rsid w:val="004A2C67"/>
    <w:rsid w:val="004A50D2"/>
    <w:rsid w:val="004A5D15"/>
    <w:rsid w:val="004B462F"/>
    <w:rsid w:val="004B4D5D"/>
    <w:rsid w:val="004C1F2E"/>
    <w:rsid w:val="004D0E51"/>
    <w:rsid w:val="004D3AAB"/>
    <w:rsid w:val="004D5A0D"/>
    <w:rsid w:val="004E175B"/>
    <w:rsid w:val="004E5870"/>
    <w:rsid w:val="004E7C24"/>
    <w:rsid w:val="004F6E3C"/>
    <w:rsid w:val="004F714F"/>
    <w:rsid w:val="004F7932"/>
    <w:rsid w:val="004F7CED"/>
    <w:rsid w:val="00502B01"/>
    <w:rsid w:val="0050495B"/>
    <w:rsid w:val="00506A8C"/>
    <w:rsid w:val="0051366C"/>
    <w:rsid w:val="00513CE4"/>
    <w:rsid w:val="00513E08"/>
    <w:rsid w:val="00521B59"/>
    <w:rsid w:val="00530BA4"/>
    <w:rsid w:val="0053115E"/>
    <w:rsid w:val="00533A4E"/>
    <w:rsid w:val="0054005C"/>
    <w:rsid w:val="005410CA"/>
    <w:rsid w:val="005418B3"/>
    <w:rsid w:val="00541F30"/>
    <w:rsid w:val="005436AB"/>
    <w:rsid w:val="005440E2"/>
    <w:rsid w:val="00550BDE"/>
    <w:rsid w:val="0055184B"/>
    <w:rsid w:val="00555DA9"/>
    <w:rsid w:val="005566D0"/>
    <w:rsid w:val="005568BE"/>
    <w:rsid w:val="00557BBD"/>
    <w:rsid w:val="00560791"/>
    <w:rsid w:val="005635A0"/>
    <w:rsid w:val="00563FB9"/>
    <w:rsid w:val="00572EEB"/>
    <w:rsid w:val="00573BEF"/>
    <w:rsid w:val="00576F15"/>
    <w:rsid w:val="0058064B"/>
    <w:rsid w:val="00581FD5"/>
    <w:rsid w:val="00582831"/>
    <w:rsid w:val="00583579"/>
    <w:rsid w:val="00583790"/>
    <w:rsid w:val="005861CB"/>
    <w:rsid w:val="00586627"/>
    <w:rsid w:val="00587B2F"/>
    <w:rsid w:val="00591477"/>
    <w:rsid w:val="00591CA9"/>
    <w:rsid w:val="005944DE"/>
    <w:rsid w:val="00594F13"/>
    <w:rsid w:val="005973C6"/>
    <w:rsid w:val="005A08B1"/>
    <w:rsid w:val="005A56C8"/>
    <w:rsid w:val="005A5A74"/>
    <w:rsid w:val="005A658A"/>
    <w:rsid w:val="005A671E"/>
    <w:rsid w:val="005B3875"/>
    <w:rsid w:val="005B578B"/>
    <w:rsid w:val="005B7631"/>
    <w:rsid w:val="005C24CC"/>
    <w:rsid w:val="005C6273"/>
    <w:rsid w:val="005C73C0"/>
    <w:rsid w:val="005D4B15"/>
    <w:rsid w:val="005D6C9F"/>
    <w:rsid w:val="005E5085"/>
    <w:rsid w:val="005E5230"/>
    <w:rsid w:val="005E5A6D"/>
    <w:rsid w:val="005E7962"/>
    <w:rsid w:val="005F22E5"/>
    <w:rsid w:val="005F25B0"/>
    <w:rsid w:val="005F6B35"/>
    <w:rsid w:val="005F6D0B"/>
    <w:rsid w:val="00600253"/>
    <w:rsid w:val="00601746"/>
    <w:rsid w:val="006052CF"/>
    <w:rsid w:val="006138B1"/>
    <w:rsid w:val="00620285"/>
    <w:rsid w:val="006222C9"/>
    <w:rsid w:val="00624694"/>
    <w:rsid w:val="00624785"/>
    <w:rsid w:val="00625CB5"/>
    <w:rsid w:val="00627335"/>
    <w:rsid w:val="0063028E"/>
    <w:rsid w:val="00632D20"/>
    <w:rsid w:val="0063375C"/>
    <w:rsid w:val="00635D21"/>
    <w:rsid w:val="00637777"/>
    <w:rsid w:val="00637D8F"/>
    <w:rsid w:val="00641D40"/>
    <w:rsid w:val="00641F0F"/>
    <w:rsid w:val="00642165"/>
    <w:rsid w:val="006451F3"/>
    <w:rsid w:val="00651063"/>
    <w:rsid w:val="00654256"/>
    <w:rsid w:val="00654425"/>
    <w:rsid w:val="00662FF6"/>
    <w:rsid w:val="006674E1"/>
    <w:rsid w:val="00667EB6"/>
    <w:rsid w:val="006704DA"/>
    <w:rsid w:val="0067371E"/>
    <w:rsid w:val="006764A2"/>
    <w:rsid w:val="006777CC"/>
    <w:rsid w:val="00677F34"/>
    <w:rsid w:val="00682DF3"/>
    <w:rsid w:val="006870C5"/>
    <w:rsid w:val="00691D70"/>
    <w:rsid w:val="0069342B"/>
    <w:rsid w:val="0069359C"/>
    <w:rsid w:val="00694A4B"/>
    <w:rsid w:val="006950E2"/>
    <w:rsid w:val="00695E98"/>
    <w:rsid w:val="006A04F9"/>
    <w:rsid w:val="006A2651"/>
    <w:rsid w:val="006A3E4D"/>
    <w:rsid w:val="006A5D62"/>
    <w:rsid w:val="006A6B2E"/>
    <w:rsid w:val="006A73D9"/>
    <w:rsid w:val="006B01FB"/>
    <w:rsid w:val="006B13B2"/>
    <w:rsid w:val="006B5D25"/>
    <w:rsid w:val="006C0C2F"/>
    <w:rsid w:val="006C2C35"/>
    <w:rsid w:val="006C354C"/>
    <w:rsid w:val="006C6345"/>
    <w:rsid w:val="006C64F7"/>
    <w:rsid w:val="006D420D"/>
    <w:rsid w:val="006D4413"/>
    <w:rsid w:val="006D6329"/>
    <w:rsid w:val="006D67C9"/>
    <w:rsid w:val="006E4D7D"/>
    <w:rsid w:val="006F0068"/>
    <w:rsid w:val="006F106E"/>
    <w:rsid w:val="006F31E6"/>
    <w:rsid w:val="006F5C6D"/>
    <w:rsid w:val="00701890"/>
    <w:rsid w:val="0070393A"/>
    <w:rsid w:val="007057D5"/>
    <w:rsid w:val="00712AC9"/>
    <w:rsid w:val="007136C3"/>
    <w:rsid w:val="00713D61"/>
    <w:rsid w:val="00720FB3"/>
    <w:rsid w:val="00723254"/>
    <w:rsid w:val="00726299"/>
    <w:rsid w:val="00726447"/>
    <w:rsid w:val="00726941"/>
    <w:rsid w:val="00727206"/>
    <w:rsid w:val="00727C2F"/>
    <w:rsid w:val="00730421"/>
    <w:rsid w:val="007356CB"/>
    <w:rsid w:val="00735FCB"/>
    <w:rsid w:val="0073613A"/>
    <w:rsid w:val="0073624C"/>
    <w:rsid w:val="00736775"/>
    <w:rsid w:val="00740450"/>
    <w:rsid w:val="007426F0"/>
    <w:rsid w:val="00747603"/>
    <w:rsid w:val="00750548"/>
    <w:rsid w:val="007545EA"/>
    <w:rsid w:val="00754C3B"/>
    <w:rsid w:val="007553BD"/>
    <w:rsid w:val="00764EDF"/>
    <w:rsid w:val="007661B9"/>
    <w:rsid w:val="0077001D"/>
    <w:rsid w:val="00771098"/>
    <w:rsid w:val="007715A4"/>
    <w:rsid w:val="00774A73"/>
    <w:rsid w:val="00781CA4"/>
    <w:rsid w:val="00782BDA"/>
    <w:rsid w:val="00782FB5"/>
    <w:rsid w:val="00786506"/>
    <w:rsid w:val="0079529D"/>
    <w:rsid w:val="007A1BCB"/>
    <w:rsid w:val="007A2575"/>
    <w:rsid w:val="007A2887"/>
    <w:rsid w:val="007A3A53"/>
    <w:rsid w:val="007A69CA"/>
    <w:rsid w:val="007B13FC"/>
    <w:rsid w:val="007B1771"/>
    <w:rsid w:val="007B536A"/>
    <w:rsid w:val="007C13C2"/>
    <w:rsid w:val="007C23C6"/>
    <w:rsid w:val="007D04D1"/>
    <w:rsid w:val="007D1DD6"/>
    <w:rsid w:val="007D3768"/>
    <w:rsid w:val="007D5A1A"/>
    <w:rsid w:val="007D64E5"/>
    <w:rsid w:val="007D64F6"/>
    <w:rsid w:val="007D7D4A"/>
    <w:rsid w:val="007E044D"/>
    <w:rsid w:val="007E2F5E"/>
    <w:rsid w:val="007E5021"/>
    <w:rsid w:val="007E6CE0"/>
    <w:rsid w:val="007F3FA2"/>
    <w:rsid w:val="0080216E"/>
    <w:rsid w:val="00803A51"/>
    <w:rsid w:val="00803F2E"/>
    <w:rsid w:val="0080449A"/>
    <w:rsid w:val="0080454D"/>
    <w:rsid w:val="008061C8"/>
    <w:rsid w:val="00813E22"/>
    <w:rsid w:val="00815919"/>
    <w:rsid w:val="00815A16"/>
    <w:rsid w:val="0081651B"/>
    <w:rsid w:val="00822FC2"/>
    <w:rsid w:val="00823897"/>
    <w:rsid w:val="00824DA6"/>
    <w:rsid w:val="00825074"/>
    <w:rsid w:val="008301AF"/>
    <w:rsid w:val="008312DB"/>
    <w:rsid w:val="008314C1"/>
    <w:rsid w:val="00834C50"/>
    <w:rsid w:val="00835D59"/>
    <w:rsid w:val="00837B87"/>
    <w:rsid w:val="00837E4B"/>
    <w:rsid w:val="00842C93"/>
    <w:rsid w:val="0084597F"/>
    <w:rsid w:val="00846D58"/>
    <w:rsid w:val="00846EE2"/>
    <w:rsid w:val="008503E9"/>
    <w:rsid w:val="00853401"/>
    <w:rsid w:val="00854F6E"/>
    <w:rsid w:val="008572C7"/>
    <w:rsid w:val="00857716"/>
    <w:rsid w:val="00864A65"/>
    <w:rsid w:val="00867B32"/>
    <w:rsid w:val="00873007"/>
    <w:rsid w:val="0087410C"/>
    <w:rsid w:val="00874A21"/>
    <w:rsid w:val="00881836"/>
    <w:rsid w:val="008821E3"/>
    <w:rsid w:val="008828FF"/>
    <w:rsid w:val="00884972"/>
    <w:rsid w:val="008900FB"/>
    <w:rsid w:val="00891714"/>
    <w:rsid w:val="0089271F"/>
    <w:rsid w:val="00893920"/>
    <w:rsid w:val="0089636C"/>
    <w:rsid w:val="008A463F"/>
    <w:rsid w:val="008A59B3"/>
    <w:rsid w:val="008B16A5"/>
    <w:rsid w:val="008B43B9"/>
    <w:rsid w:val="008B5E19"/>
    <w:rsid w:val="008B6C32"/>
    <w:rsid w:val="008B6EBB"/>
    <w:rsid w:val="008B71A1"/>
    <w:rsid w:val="008C1245"/>
    <w:rsid w:val="008C31B5"/>
    <w:rsid w:val="008C790A"/>
    <w:rsid w:val="008D0984"/>
    <w:rsid w:val="008D3872"/>
    <w:rsid w:val="008D5E2B"/>
    <w:rsid w:val="008D6EB8"/>
    <w:rsid w:val="008E41F3"/>
    <w:rsid w:val="008E687E"/>
    <w:rsid w:val="008E6969"/>
    <w:rsid w:val="008F237C"/>
    <w:rsid w:val="008F4189"/>
    <w:rsid w:val="008F6B46"/>
    <w:rsid w:val="0090144A"/>
    <w:rsid w:val="00901D93"/>
    <w:rsid w:val="0090583C"/>
    <w:rsid w:val="00906579"/>
    <w:rsid w:val="0090769C"/>
    <w:rsid w:val="0091042E"/>
    <w:rsid w:val="00913EB7"/>
    <w:rsid w:val="00914557"/>
    <w:rsid w:val="00914E97"/>
    <w:rsid w:val="009176F6"/>
    <w:rsid w:val="00917C8C"/>
    <w:rsid w:val="00924956"/>
    <w:rsid w:val="00924AE9"/>
    <w:rsid w:val="009326A4"/>
    <w:rsid w:val="00933625"/>
    <w:rsid w:val="00933BB2"/>
    <w:rsid w:val="00933C09"/>
    <w:rsid w:val="00935BAA"/>
    <w:rsid w:val="00935E56"/>
    <w:rsid w:val="00936959"/>
    <w:rsid w:val="00937970"/>
    <w:rsid w:val="00940316"/>
    <w:rsid w:val="009403D3"/>
    <w:rsid w:val="009405CB"/>
    <w:rsid w:val="009438E5"/>
    <w:rsid w:val="00944203"/>
    <w:rsid w:val="009454E3"/>
    <w:rsid w:val="0094713E"/>
    <w:rsid w:val="00951D1A"/>
    <w:rsid w:val="009530ED"/>
    <w:rsid w:val="009535A3"/>
    <w:rsid w:val="00955118"/>
    <w:rsid w:val="009559BF"/>
    <w:rsid w:val="00956041"/>
    <w:rsid w:val="00956D7B"/>
    <w:rsid w:val="00957119"/>
    <w:rsid w:val="00960D3C"/>
    <w:rsid w:val="009612B2"/>
    <w:rsid w:val="00961722"/>
    <w:rsid w:val="009643C9"/>
    <w:rsid w:val="00971049"/>
    <w:rsid w:val="00971304"/>
    <w:rsid w:val="0097270E"/>
    <w:rsid w:val="00973E12"/>
    <w:rsid w:val="009854D7"/>
    <w:rsid w:val="00985B16"/>
    <w:rsid w:val="00986DE1"/>
    <w:rsid w:val="00991386"/>
    <w:rsid w:val="00991870"/>
    <w:rsid w:val="009956BD"/>
    <w:rsid w:val="0099794C"/>
    <w:rsid w:val="00997C3E"/>
    <w:rsid w:val="009A1073"/>
    <w:rsid w:val="009A235B"/>
    <w:rsid w:val="009A3362"/>
    <w:rsid w:val="009A5B55"/>
    <w:rsid w:val="009B09C2"/>
    <w:rsid w:val="009B1598"/>
    <w:rsid w:val="009B1645"/>
    <w:rsid w:val="009B276A"/>
    <w:rsid w:val="009B7F07"/>
    <w:rsid w:val="009C059B"/>
    <w:rsid w:val="009C293E"/>
    <w:rsid w:val="009C7526"/>
    <w:rsid w:val="009D0B99"/>
    <w:rsid w:val="009D291A"/>
    <w:rsid w:val="009D4C42"/>
    <w:rsid w:val="009D64F1"/>
    <w:rsid w:val="009E0617"/>
    <w:rsid w:val="009E09AD"/>
    <w:rsid w:val="009E2599"/>
    <w:rsid w:val="009E2CCB"/>
    <w:rsid w:val="009E2FA9"/>
    <w:rsid w:val="009E3084"/>
    <w:rsid w:val="009E47E1"/>
    <w:rsid w:val="009E568A"/>
    <w:rsid w:val="009F1577"/>
    <w:rsid w:val="009F16E8"/>
    <w:rsid w:val="009F1E49"/>
    <w:rsid w:val="009F62B6"/>
    <w:rsid w:val="009F68CD"/>
    <w:rsid w:val="009F6FAF"/>
    <w:rsid w:val="00A03B94"/>
    <w:rsid w:val="00A05A28"/>
    <w:rsid w:val="00A06B11"/>
    <w:rsid w:val="00A1109B"/>
    <w:rsid w:val="00A2062E"/>
    <w:rsid w:val="00A23318"/>
    <w:rsid w:val="00A23F37"/>
    <w:rsid w:val="00A24BFD"/>
    <w:rsid w:val="00A253BC"/>
    <w:rsid w:val="00A27CCB"/>
    <w:rsid w:val="00A30E57"/>
    <w:rsid w:val="00A33604"/>
    <w:rsid w:val="00A35CD0"/>
    <w:rsid w:val="00A362FE"/>
    <w:rsid w:val="00A37635"/>
    <w:rsid w:val="00A43E50"/>
    <w:rsid w:val="00A4740F"/>
    <w:rsid w:val="00A477BA"/>
    <w:rsid w:val="00A51926"/>
    <w:rsid w:val="00A5336C"/>
    <w:rsid w:val="00A54077"/>
    <w:rsid w:val="00A55636"/>
    <w:rsid w:val="00A571A6"/>
    <w:rsid w:val="00A613D7"/>
    <w:rsid w:val="00A63EB8"/>
    <w:rsid w:val="00A653D8"/>
    <w:rsid w:val="00A7157A"/>
    <w:rsid w:val="00A72589"/>
    <w:rsid w:val="00A73A1E"/>
    <w:rsid w:val="00A74FD3"/>
    <w:rsid w:val="00A76C47"/>
    <w:rsid w:val="00A76C70"/>
    <w:rsid w:val="00A77088"/>
    <w:rsid w:val="00A809AA"/>
    <w:rsid w:val="00A80D65"/>
    <w:rsid w:val="00A86056"/>
    <w:rsid w:val="00A8692F"/>
    <w:rsid w:val="00A87BC0"/>
    <w:rsid w:val="00A90B6F"/>
    <w:rsid w:val="00A91E8A"/>
    <w:rsid w:val="00A92D12"/>
    <w:rsid w:val="00A937BB"/>
    <w:rsid w:val="00A93CEF"/>
    <w:rsid w:val="00A93EA0"/>
    <w:rsid w:val="00AA0B5C"/>
    <w:rsid w:val="00AA0FB5"/>
    <w:rsid w:val="00AA3F3A"/>
    <w:rsid w:val="00AA546B"/>
    <w:rsid w:val="00AA59BE"/>
    <w:rsid w:val="00AA7284"/>
    <w:rsid w:val="00AA77A6"/>
    <w:rsid w:val="00AB024F"/>
    <w:rsid w:val="00AB047F"/>
    <w:rsid w:val="00AB147D"/>
    <w:rsid w:val="00AB49AF"/>
    <w:rsid w:val="00AB5429"/>
    <w:rsid w:val="00AC0612"/>
    <w:rsid w:val="00AC0CDF"/>
    <w:rsid w:val="00AC0F56"/>
    <w:rsid w:val="00AC4311"/>
    <w:rsid w:val="00AC4C02"/>
    <w:rsid w:val="00AC6143"/>
    <w:rsid w:val="00AC692A"/>
    <w:rsid w:val="00AC7A55"/>
    <w:rsid w:val="00AD00D1"/>
    <w:rsid w:val="00AD483C"/>
    <w:rsid w:val="00AD6D20"/>
    <w:rsid w:val="00AE41E8"/>
    <w:rsid w:val="00AF2089"/>
    <w:rsid w:val="00AF3610"/>
    <w:rsid w:val="00AF5E7C"/>
    <w:rsid w:val="00B03216"/>
    <w:rsid w:val="00B05594"/>
    <w:rsid w:val="00B0624E"/>
    <w:rsid w:val="00B1262C"/>
    <w:rsid w:val="00B134C4"/>
    <w:rsid w:val="00B147AC"/>
    <w:rsid w:val="00B16C89"/>
    <w:rsid w:val="00B178C7"/>
    <w:rsid w:val="00B17C43"/>
    <w:rsid w:val="00B22A6C"/>
    <w:rsid w:val="00B25028"/>
    <w:rsid w:val="00B26661"/>
    <w:rsid w:val="00B33BB8"/>
    <w:rsid w:val="00B35C50"/>
    <w:rsid w:val="00B42058"/>
    <w:rsid w:val="00B42493"/>
    <w:rsid w:val="00B43FC0"/>
    <w:rsid w:val="00B4573D"/>
    <w:rsid w:val="00B4783A"/>
    <w:rsid w:val="00B554C4"/>
    <w:rsid w:val="00B6593B"/>
    <w:rsid w:val="00B65D1F"/>
    <w:rsid w:val="00B66E3F"/>
    <w:rsid w:val="00B66F88"/>
    <w:rsid w:val="00B71781"/>
    <w:rsid w:val="00B717B1"/>
    <w:rsid w:val="00B72E41"/>
    <w:rsid w:val="00B7343F"/>
    <w:rsid w:val="00B73574"/>
    <w:rsid w:val="00B74512"/>
    <w:rsid w:val="00B747A1"/>
    <w:rsid w:val="00B74A96"/>
    <w:rsid w:val="00B763A9"/>
    <w:rsid w:val="00B81F81"/>
    <w:rsid w:val="00B8307C"/>
    <w:rsid w:val="00B866C3"/>
    <w:rsid w:val="00B86851"/>
    <w:rsid w:val="00B86F62"/>
    <w:rsid w:val="00B9077F"/>
    <w:rsid w:val="00B9172B"/>
    <w:rsid w:val="00B93A8E"/>
    <w:rsid w:val="00BA19E2"/>
    <w:rsid w:val="00BA3CC0"/>
    <w:rsid w:val="00BA58A6"/>
    <w:rsid w:val="00BA70EE"/>
    <w:rsid w:val="00BB0107"/>
    <w:rsid w:val="00BB3BAB"/>
    <w:rsid w:val="00BB53D8"/>
    <w:rsid w:val="00BB6E48"/>
    <w:rsid w:val="00BC0C1B"/>
    <w:rsid w:val="00BD14A1"/>
    <w:rsid w:val="00BD569B"/>
    <w:rsid w:val="00BD7101"/>
    <w:rsid w:val="00BE1F80"/>
    <w:rsid w:val="00BE5F1A"/>
    <w:rsid w:val="00BE6A6D"/>
    <w:rsid w:val="00BF7136"/>
    <w:rsid w:val="00C0265D"/>
    <w:rsid w:val="00C10EA1"/>
    <w:rsid w:val="00C11855"/>
    <w:rsid w:val="00C13283"/>
    <w:rsid w:val="00C13EA8"/>
    <w:rsid w:val="00C144C7"/>
    <w:rsid w:val="00C14969"/>
    <w:rsid w:val="00C23073"/>
    <w:rsid w:val="00C23D37"/>
    <w:rsid w:val="00C249B2"/>
    <w:rsid w:val="00C268F3"/>
    <w:rsid w:val="00C30659"/>
    <w:rsid w:val="00C31C5A"/>
    <w:rsid w:val="00C33827"/>
    <w:rsid w:val="00C35866"/>
    <w:rsid w:val="00C365CE"/>
    <w:rsid w:val="00C37325"/>
    <w:rsid w:val="00C37D2A"/>
    <w:rsid w:val="00C42448"/>
    <w:rsid w:val="00C46BFB"/>
    <w:rsid w:val="00C4793D"/>
    <w:rsid w:val="00C53815"/>
    <w:rsid w:val="00C540A0"/>
    <w:rsid w:val="00C55B71"/>
    <w:rsid w:val="00C57076"/>
    <w:rsid w:val="00C60153"/>
    <w:rsid w:val="00C623F4"/>
    <w:rsid w:val="00C64B5F"/>
    <w:rsid w:val="00C653F7"/>
    <w:rsid w:val="00C6572A"/>
    <w:rsid w:val="00C6728D"/>
    <w:rsid w:val="00C70119"/>
    <w:rsid w:val="00C7096B"/>
    <w:rsid w:val="00C73935"/>
    <w:rsid w:val="00C75189"/>
    <w:rsid w:val="00C760BE"/>
    <w:rsid w:val="00C761C7"/>
    <w:rsid w:val="00C82A01"/>
    <w:rsid w:val="00C86F3D"/>
    <w:rsid w:val="00C87141"/>
    <w:rsid w:val="00C92D34"/>
    <w:rsid w:val="00C93717"/>
    <w:rsid w:val="00C96185"/>
    <w:rsid w:val="00C96461"/>
    <w:rsid w:val="00C96F14"/>
    <w:rsid w:val="00CA09A4"/>
    <w:rsid w:val="00CA2709"/>
    <w:rsid w:val="00CA36A4"/>
    <w:rsid w:val="00CA482D"/>
    <w:rsid w:val="00CA6628"/>
    <w:rsid w:val="00CA76B4"/>
    <w:rsid w:val="00CA7F27"/>
    <w:rsid w:val="00CB1652"/>
    <w:rsid w:val="00CB1B8A"/>
    <w:rsid w:val="00CB2C20"/>
    <w:rsid w:val="00CB580A"/>
    <w:rsid w:val="00CB5D00"/>
    <w:rsid w:val="00CB645A"/>
    <w:rsid w:val="00CC087C"/>
    <w:rsid w:val="00CC0DD1"/>
    <w:rsid w:val="00CC3F8A"/>
    <w:rsid w:val="00CC50B2"/>
    <w:rsid w:val="00CD2314"/>
    <w:rsid w:val="00CD2D84"/>
    <w:rsid w:val="00CD3A32"/>
    <w:rsid w:val="00CE1933"/>
    <w:rsid w:val="00CE19D8"/>
    <w:rsid w:val="00CE2450"/>
    <w:rsid w:val="00CE68BB"/>
    <w:rsid w:val="00CE70C4"/>
    <w:rsid w:val="00CE7F8C"/>
    <w:rsid w:val="00CF1A9A"/>
    <w:rsid w:val="00CF27F5"/>
    <w:rsid w:val="00CF4E24"/>
    <w:rsid w:val="00D015FD"/>
    <w:rsid w:val="00D0337F"/>
    <w:rsid w:val="00D10815"/>
    <w:rsid w:val="00D11CF8"/>
    <w:rsid w:val="00D156B0"/>
    <w:rsid w:val="00D21150"/>
    <w:rsid w:val="00D258C6"/>
    <w:rsid w:val="00D30790"/>
    <w:rsid w:val="00D31BE2"/>
    <w:rsid w:val="00D42680"/>
    <w:rsid w:val="00D43679"/>
    <w:rsid w:val="00D44409"/>
    <w:rsid w:val="00D4725E"/>
    <w:rsid w:val="00D47A39"/>
    <w:rsid w:val="00D51B75"/>
    <w:rsid w:val="00D51CF7"/>
    <w:rsid w:val="00D53475"/>
    <w:rsid w:val="00D548E6"/>
    <w:rsid w:val="00D55EA4"/>
    <w:rsid w:val="00D60052"/>
    <w:rsid w:val="00D60CF8"/>
    <w:rsid w:val="00D641EC"/>
    <w:rsid w:val="00D71470"/>
    <w:rsid w:val="00D7181E"/>
    <w:rsid w:val="00D7190D"/>
    <w:rsid w:val="00D762CC"/>
    <w:rsid w:val="00D77AAB"/>
    <w:rsid w:val="00D80CC1"/>
    <w:rsid w:val="00D8317A"/>
    <w:rsid w:val="00D83614"/>
    <w:rsid w:val="00D84EB2"/>
    <w:rsid w:val="00D86FDD"/>
    <w:rsid w:val="00D9141D"/>
    <w:rsid w:val="00D96A07"/>
    <w:rsid w:val="00DA22BA"/>
    <w:rsid w:val="00DA38D1"/>
    <w:rsid w:val="00DA5489"/>
    <w:rsid w:val="00DB05D0"/>
    <w:rsid w:val="00DB11A0"/>
    <w:rsid w:val="00DC0310"/>
    <w:rsid w:val="00DC278D"/>
    <w:rsid w:val="00DC2F9B"/>
    <w:rsid w:val="00DC438D"/>
    <w:rsid w:val="00DC5A46"/>
    <w:rsid w:val="00DD1548"/>
    <w:rsid w:val="00DD16C4"/>
    <w:rsid w:val="00DD210B"/>
    <w:rsid w:val="00DE10FB"/>
    <w:rsid w:val="00DE31A8"/>
    <w:rsid w:val="00DE407E"/>
    <w:rsid w:val="00DF19D1"/>
    <w:rsid w:val="00DF1A73"/>
    <w:rsid w:val="00DF2C30"/>
    <w:rsid w:val="00DF4339"/>
    <w:rsid w:val="00DF6B6E"/>
    <w:rsid w:val="00DF6F8A"/>
    <w:rsid w:val="00DF75D7"/>
    <w:rsid w:val="00E03B93"/>
    <w:rsid w:val="00E04738"/>
    <w:rsid w:val="00E0650A"/>
    <w:rsid w:val="00E10549"/>
    <w:rsid w:val="00E112AC"/>
    <w:rsid w:val="00E23A1E"/>
    <w:rsid w:val="00E254E6"/>
    <w:rsid w:val="00E25CBC"/>
    <w:rsid w:val="00E33BD7"/>
    <w:rsid w:val="00E34D8B"/>
    <w:rsid w:val="00E37090"/>
    <w:rsid w:val="00E41ECE"/>
    <w:rsid w:val="00E42AA6"/>
    <w:rsid w:val="00E42D0D"/>
    <w:rsid w:val="00E4521B"/>
    <w:rsid w:val="00E46F4D"/>
    <w:rsid w:val="00E50019"/>
    <w:rsid w:val="00E522A2"/>
    <w:rsid w:val="00E52971"/>
    <w:rsid w:val="00E5524E"/>
    <w:rsid w:val="00E6104F"/>
    <w:rsid w:val="00E63E7C"/>
    <w:rsid w:val="00E700FD"/>
    <w:rsid w:val="00E74A55"/>
    <w:rsid w:val="00E759CA"/>
    <w:rsid w:val="00E761E2"/>
    <w:rsid w:val="00E803D6"/>
    <w:rsid w:val="00E83D31"/>
    <w:rsid w:val="00E85F6A"/>
    <w:rsid w:val="00E87893"/>
    <w:rsid w:val="00E87C03"/>
    <w:rsid w:val="00E95012"/>
    <w:rsid w:val="00E955BB"/>
    <w:rsid w:val="00E958E7"/>
    <w:rsid w:val="00E96B27"/>
    <w:rsid w:val="00E96FD9"/>
    <w:rsid w:val="00EA1289"/>
    <w:rsid w:val="00EA7E35"/>
    <w:rsid w:val="00EA7E42"/>
    <w:rsid w:val="00EB0918"/>
    <w:rsid w:val="00EB100A"/>
    <w:rsid w:val="00EB4E6B"/>
    <w:rsid w:val="00EB5224"/>
    <w:rsid w:val="00EB7701"/>
    <w:rsid w:val="00EB796D"/>
    <w:rsid w:val="00EC0987"/>
    <w:rsid w:val="00EC2EC0"/>
    <w:rsid w:val="00ED4523"/>
    <w:rsid w:val="00ED5CE2"/>
    <w:rsid w:val="00EE59A6"/>
    <w:rsid w:val="00EE701C"/>
    <w:rsid w:val="00EF18B6"/>
    <w:rsid w:val="00F00E30"/>
    <w:rsid w:val="00F06C04"/>
    <w:rsid w:val="00F076DF"/>
    <w:rsid w:val="00F07FA1"/>
    <w:rsid w:val="00F15EE9"/>
    <w:rsid w:val="00F16D8C"/>
    <w:rsid w:val="00F17185"/>
    <w:rsid w:val="00F20540"/>
    <w:rsid w:val="00F20E1F"/>
    <w:rsid w:val="00F264FA"/>
    <w:rsid w:val="00F3014B"/>
    <w:rsid w:val="00F36772"/>
    <w:rsid w:val="00F36D46"/>
    <w:rsid w:val="00F37ABC"/>
    <w:rsid w:val="00F407AA"/>
    <w:rsid w:val="00F41450"/>
    <w:rsid w:val="00F41E76"/>
    <w:rsid w:val="00F438FF"/>
    <w:rsid w:val="00F44A5F"/>
    <w:rsid w:val="00F461DE"/>
    <w:rsid w:val="00F46E9A"/>
    <w:rsid w:val="00F475ED"/>
    <w:rsid w:val="00F537C1"/>
    <w:rsid w:val="00F53E31"/>
    <w:rsid w:val="00F57731"/>
    <w:rsid w:val="00F60B14"/>
    <w:rsid w:val="00F61E4D"/>
    <w:rsid w:val="00F635E6"/>
    <w:rsid w:val="00F64A14"/>
    <w:rsid w:val="00F66283"/>
    <w:rsid w:val="00F670A5"/>
    <w:rsid w:val="00F704B1"/>
    <w:rsid w:val="00F7246A"/>
    <w:rsid w:val="00F73499"/>
    <w:rsid w:val="00F73D63"/>
    <w:rsid w:val="00F75E7A"/>
    <w:rsid w:val="00F761AC"/>
    <w:rsid w:val="00F81F73"/>
    <w:rsid w:val="00F8320A"/>
    <w:rsid w:val="00F83293"/>
    <w:rsid w:val="00F877D5"/>
    <w:rsid w:val="00F90FDC"/>
    <w:rsid w:val="00F917AF"/>
    <w:rsid w:val="00F93721"/>
    <w:rsid w:val="00F93D6A"/>
    <w:rsid w:val="00F94792"/>
    <w:rsid w:val="00F9702B"/>
    <w:rsid w:val="00F976D1"/>
    <w:rsid w:val="00FA135F"/>
    <w:rsid w:val="00FA1BC6"/>
    <w:rsid w:val="00FA21EC"/>
    <w:rsid w:val="00FB1E82"/>
    <w:rsid w:val="00FB38CE"/>
    <w:rsid w:val="00FB3E58"/>
    <w:rsid w:val="00FB4034"/>
    <w:rsid w:val="00FB659D"/>
    <w:rsid w:val="00FB6B30"/>
    <w:rsid w:val="00FB6F9E"/>
    <w:rsid w:val="00FC040D"/>
    <w:rsid w:val="00FC0FE1"/>
    <w:rsid w:val="00FC1073"/>
    <w:rsid w:val="00FC2F6E"/>
    <w:rsid w:val="00FC3C46"/>
    <w:rsid w:val="00FC441E"/>
    <w:rsid w:val="00FC5A10"/>
    <w:rsid w:val="00FD09B5"/>
    <w:rsid w:val="00FD20F9"/>
    <w:rsid w:val="00FD2D6B"/>
    <w:rsid w:val="00FD2FCA"/>
    <w:rsid w:val="00FD33AF"/>
    <w:rsid w:val="00FD7CBB"/>
    <w:rsid w:val="00FE0073"/>
    <w:rsid w:val="00FE2FF0"/>
    <w:rsid w:val="00FE4100"/>
    <w:rsid w:val="00FE5808"/>
    <w:rsid w:val="00FF0854"/>
    <w:rsid w:val="00FF3CC5"/>
    <w:rsid w:val="00FF4E6F"/>
    <w:rsid w:val="00FF788B"/>
    <w:rsid w:val="016D9089"/>
    <w:rsid w:val="01B36FC6"/>
    <w:rsid w:val="0252A762"/>
    <w:rsid w:val="032557A0"/>
    <w:rsid w:val="042A898D"/>
    <w:rsid w:val="043549F8"/>
    <w:rsid w:val="04A73E69"/>
    <w:rsid w:val="05C659EE"/>
    <w:rsid w:val="06385BE1"/>
    <w:rsid w:val="06486A9D"/>
    <w:rsid w:val="06589BD5"/>
    <w:rsid w:val="07280335"/>
    <w:rsid w:val="07882C4B"/>
    <w:rsid w:val="08BC1491"/>
    <w:rsid w:val="0931E74C"/>
    <w:rsid w:val="09E1A35B"/>
    <w:rsid w:val="0A71CC13"/>
    <w:rsid w:val="0C23486A"/>
    <w:rsid w:val="0C5068BF"/>
    <w:rsid w:val="0CFAF3E7"/>
    <w:rsid w:val="0D7E4495"/>
    <w:rsid w:val="0D9744B9"/>
    <w:rsid w:val="0DD4ED7C"/>
    <w:rsid w:val="0FF2ACB6"/>
    <w:rsid w:val="10057752"/>
    <w:rsid w:val="106DAFBD"/>
    <w:rsid w:val="11F7E3EC"/>
    <w:rsid w:val="12201A17"/>
    <w:rsid w:val="137F778C"/>
    <w:rsid w:val="1384767B"/>
    <w:rsid w:val="146FDE7E"/>
    <w:rsid w:val="14DAFC49"/>
    <w:rsid w:val="15906D45"/>
    <w:rsid w:val="15E33AFC"/>
    <w:rsid w:val="163E16CB"/>
    <w:rsid w:val="166402DB"/>
    <w:rsid w:val="169FE26D"/>
    <w:rsid w:val="1842461C"/>
    <w:rsid w:val="18BC9BEA"/>
    <w:rsid w:val="192B871E"/>
    <w:rsid w:val="193F66BC"/>
    <w:rsid w:val="196BC35A"/>
    <w:rsid w:val="1AB0FC53"/>
    <w:rsid w:val="1B08EC6E"/>
    <w:rsid w:val="1B2856EF"/>
    <w:rsid w:val="1B7DBB7E"/>
    <w:rsid w:val="1C41A79A"/>
    <w:rsid w:val="1C600662"/>
    <w:rsid w:val="1CC6B17C"/>
    <w:rsid w:val="1DA13696"/>
    <w:rsid w:val="1E5BA070"/>
    <w:rsid w:val="1EFE9D1F"/>
    <w:rsid w:val="1F3C704F"/>
    <w:rsid w:val="200DAAA6"/>
    <w:rsid w:val="20E12A0C"/>
    <w:rsid w:val="2111C587"/>
    <w:rsid w:val="215A7309"/>
    <w:rsid w:val="2309F2A3"/>
    <w:rsid w:val="24F2BC11"/>
    <w:rsid w:val="265ABBC2"/>
    <w:rsid w:val="26776DA7"/>
    <w:rsid w:val="2687DF30"/>
    <w:rsid w:val="26D02D0D"/>
    <w:rsid w:val="26FA923F"/>
    <w:rsid w:val="27203FB0"/>
    <w:rsid w:val="274FC56C"/>
    <w:rsid w:val="27728EBB"/>
    <w:rsid w:val="27875FFF"/>
    <w:rsid w:val="27882D95"/>
    <w:rsid w:val="27F68C23"/>
    <w:rsid w:val="27F95470"/>
    <w:rsid w:val="2815E53B"/>
    <w:rsid w:val="281A6ADA"/>
    <w:rsid w:val="2847F4E3"/>
    <w:rsid w:val="2851448B"/>
    <w:rsid w:val="2943A70F"/>
    <w:rsid w:val="2954AEBE"/>
    <w:rsid w:val="2AE7C58A"/>
    <w:rsid w:val="2C40C4A9"/>
    <w:rsid w:val="2CED9013"/>
    <w:rsid w:val="2D4E763A"/>
    <w:rsid w:val="2DE67DE5"/>
    <w:rsid w:val="2E45DACA"/>
    <w:rsid w:val="2F273FE0"/>
    <w:rsid w:val="2F308A55"/>
    <w:rsid w:val="30DE24F2"/>
    <w:rsid w:val="32D81137"/>
    <w:rsid w:val="330DD3E4"/>
    <w:rsid w:val="343AD918"/>
    <w:rsid w:val="348F4A54"/>
    <w:rsid w:val="35D3224F"/>
    <w:rsid w:val="3680551C"/>
    <w:rsid w:val="36B1264E"/>
    <w:rsid w:val="36D2250B"/>
    <w:rsid w:val="36D68C82"/>
    <w:rsid w:val="374B7A22"/>
    <w:rsid w:val="37ACF933"/>
    <w:rsid w:val="37E14507"/>
    <w:rsid w:val="384CF6AF"/>
    <w:rsid w:val="38B06366"/>
    <w:rsid w:val="39355103"/>
    <w:rsid w:val="399C0597"/>
    <w:rsid w:val="39CFD0BA"/>
    <w:rsid w:val="3A09C5CD"/>
    <w:rsid w:val="3B1FE1C8"/>
    <w:rsid w:val="3CAB0425"/>
    <w:rsid w:val="3CB4B62A"/>
    <w:rsid w:val="3CF4F6A3"/>
    <w:rsid w:val="3D71F867"/>
    <w:rsid w:val="3E03125A"/>
    <w:rsid w:val="3E4156F6"/>
    <w:rsid w:val="3E95563C"/>
    <w:rsid w:val="3EF8A3ED"/>
    <w:rsid w:val="3F1975B9"/>
    <w:rsid w:val="3F9E5015"/>
    <w:rsid w:val="3FC8A664"/>
    <w:rsid w:val="3FEC56EC"/>
    <w:rsid w:val="3FF41FD7"/>
    <w:rsid w:val="40212548"/>
    <w:rsid w:val="4125A912"/>
    <w:rsid w:val="413A2076"/>
    <w:rsid w:val="41CF86B4"/>
    <w:rsid w:val="420B8814"/>
    <w:rsid w:val="426161DD"/>
    <w:rsid w:val="427CF1F2"/>
    <w:rsid w:val="42D5F0D7"/>
    <w:rsid w:val="44A3D23C"/>
    <w:rsid w:val="46D77153"/>
    <w:rsid w:val="47371080"/>
    <w:rsid w:val="47A81FA6"/>
    <w:rsid w:val="47AE3A27"/>
    <w:rsid w:val="4973C1F2"/>
    <w:rsid w:val="4977DC29"/>
    <w:rsid w:val="499B26B8"/>
    <w:rsid w:val="4A87F6F2"/>
    <w:rsid w:val="4AA76560"/>
    <w:rsid w:val="4AFA842D"/>
    <w:rsid w:val="4B4B6A77"/>
    <w:rsid w:val="4BB3CC1B"/>
    <w:rsid w:val="4C23D438"/>
    <w:rsid w:val="4C9B1AB7"/>
    <w:rsid w:val="4CA6C4C5"/>
    <w:rsid w:val="4D0FA9A5"/>
    <w:rsid w:val="4D5F6DEB"/>
    <w:rsid w:val="4DBFA499"/>
    <w:rsid w:val="4E4B4D4C"/>
    <w:rsid w:val="4EBA2150"/>
    <w:rsid w:val="4EDA63DC"/>
    <w:rsid w:val="4EF511E8"/>
    <w:rsid w:val="4F538774"/>
    <w:rsid w:val="4FD6135A"/>
    <w:rsid w:val="529315BC"/>
    <w:rsid w:val="52E49755"/>
    <w:rsid w:val="534208FE"/>
    <w:rsid w:val="53FE0195"/>
    <w:rsid w:val="551ABB8A"/>
    <w:rsid w:val="55843153"/>
    <w:rsid w:val="55B9A9A6"/>
    <w:rsid w:val="572DE283"/>
    <w:rsid w:val="57A92D1A"/>
    <w:rsid w:val="58884DF9"/>
    <w:rsid w:val="59253856"/>
    <w:rsid w:val="59EF1CE2"/>
    <w:rsid w:val="5A145FAF"/>
    <w:rsid w:val="5A9E27A1"/>
    <w:rsid w:val="5B34FA38"/>
    <w:rsid w:val="5C50B549"/>
    <w:rsid w:val="5D1046C5"/>
    <w:rsid w:val="5D8E85AF"/>
    <w:rsid w:val="5DD5C863"/>
    <w:rsid w:val="5DF12195"/>
    <w:rsid w:val="61552861"/>
    <w:rsid w:val="61AD187C"/>
    <w:rsid w:val="6215340E"/>
    <w:rsid w:val="62A93986"/>
    <w:rsid w:val="62E87896"/>
    <w:rsid w:val="62F9AD7A"/>
    <w:rsid w:val="630EEF44"/>
    <w:rsid w:val="6323A762"/>
    <w:rsid w:val="6383D41C"/>
    <w:rsid w:val="64493616"/>
    <w:rsid w:val="644BEFBB"/>
    <w:rsid w:val="6473B02A"/>
    <w:rsid w:val="649F2AD7"/>
    <w:rsid w:val="665B4824"/>
    <w:rsid w:val="6662AA1E"/>
    <w:rsid w:val="6728C46D"/>
    <w:rsid w:val="676A6820"/>
    <w:rsid w:val="6770FAA6"/>
    <w:rsid w:val="68828ADC"/>
    <w:rsid w:val="69063881"/>
    <w:rsid w:val="69EB7EB0"/>
    <w:rsid w:val="6A36AB1D"/>
    <w:rsid w:val="6A39F8E3"/>
    <w:rsid w:val="6A5433E1"/>
    <w:rsid w:val="6A9D9149"/>
    <w:rsid w:val="6AE7FA9E"/>
    <w:rsid w:val="6C1B2E57"/>
    <w:rsid w:val="6C4433FF"/>
    <w:rsid w:val="6D62D9C2"/>
    <w:rsid w:val="6D741D77"/>
    <w:rsid w:val="6DCA3BF6"/>
    <w:rsid w:val="6E1F03E8"/>
    <w:rsid w:val="6E21090B"/>
    <w:rsid w:val="6E48AAE1"/>
    <w:rsid w:val="6E9D807E"/>
    <w:rsid w:val="6EC686C3"/>
    <w:rsid w:val="6F2EF640"/>
    <w:rsid w:val="6FCDE2F2"/>
    <w:rsid w:val="70326073"/>
    <w:rsid w:val="71F7F47D"/>
    <w:rsid w:val="71FE2785"/>
    <w:rsid w:val="720C3757"/>
    <w:rsid w:val="73453E04"/>
    <w:rsid w:val="73FADF7F"/>
    <w:rsid w:val="740E2984"/>
    <w:rsid w:val="752C4309"/>
    <w:rsid w:val="7583374F"/>
    <w:rsid w:val="75BD5845"/>
    <w:rsid w:val="766961C2"/>
    <w:rsid w:val="76FCFE12"/>
    <w:rsid w:val="77B6D666"/>
    <w:rsid w:val="78C6C8BE"/>
    <w:rsid w:val="7A4F208E"/>
    <w:rsid w:val="7ACD9D24"/>
    <w:rsid w:val="7AD153B7"/>
    <w:rsid w:val="7B5F953C"/>
    <w:rsid w:val="7B99DBD4"/>
    <w:rsid w:val="7BAC52F4"/>
    <w:rsid w:val="7C774E5D"/>
    <w:rsid w:val="7C93312E"/>
    <w:rsid w:val="7CE63C27"/>
    <w:rsid w:val="7D4132E9"/>
    <w:rsid w:val="7D7AB890"/>
    <w:rsid w:val="7DAB776F"/>
    <w:rsid w:val="7DBF5308"/>
    <w:rsid w:val="7DDFF20B"/>
    <w:rsid w:val="7E316C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630EC"/>
  <w15:docId w15:val="{48EC3B16-E7EE-4D7A-90E7-DFF8C8A0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59D"/>
    <w:pPr>
      <w:spacing w:after="120"/>
    </w:pPr>
    <w:rPr>
      <w:rFonts w:ascii="Arial" w:hAnsi="Arial"/>
    </w:rPr>
  </w:style>
  <w:style w:type="paragraph" w:styleId="Heading1">
    <w:name w:val="heading 1"/>
    <w:basedOn w:val="Normal"/>
    <w:next w:val="Normal"/>
    <w:link w:val="Heading1Char"/>
    <w:uiPriority w:val="9"/>
    <w:qFormat/>
    <w:rsid w:val="00F60B14"/>
    <w:pPr>
      <w:keepNext/>
      <w:keepLines/>
      <w:spacing w:before="120"/>
      <w:jc w:val="center"/>
      <w:outlineLvl w:val="0"/>
    </w:pPr>
    <w:rPr>
      <w:rFonts w:eastAsiaTheme="majorEastAsia" w:cstheme="majorBidi"/>
      <w:b/>
      <w:bCs/>
      <w:color w:val="365F91" w:themeColor="accent1" w:themeShade="BF"/>
      <w:sz w:val="36"/>
      <w:szCs w:val="32"/>
    </w:rPr>
  </w:style>
  <w:style w:type="paragraph" w:styleId="Heading2">
    <w:name w:val="heading 2"/>
    <w:basedOn w:val="Normal"/>
    <w:next w:val="Normal"/>
    <w:link w:val="Heading2Char"/>
    <w:qFormat/>
    <w:rsid w:val="00521B59"/>
    <w:pPr>
      <w:keepNext/>
      <w:tabs>
        <w:tab w:val="left" w:pos="7185"/>
      </w:tabs>
      <w:spacing w:before="120"/>
      <w:contextualSpacing/>
      <w:outlineLvl w:val="1"/>
    </w:pPr>
    <w:rPr>
      <w:rFonts w:cstheme="minorHAnsi"/>
      <w:b/>
      <w:caps/>
      <w:color w:val="1F497D" w:themeColor="text2"/>
      <w:sz w:val="24"/>
      <w:szCs w:val="24"/>
    </w:rPr>
  </w:style>
  <w:style w:type="paragraph" w:styleId="Heading3">
    <w:name w:val="heading 3"/>
    <w:basedOn w:val="Normal"/>
    <w:next w:val="Normal"/>
    <w:link w:val="Heading3Char"/>
    <w:uiPriority w:val="9"/>
    <w:unhideWhenUsed/>
    <w:qFormat/>
    <w:rsid w:val="004F7CED"/>
    <w:pPr>
      <w:keepNext/>
      <w:keepLines/>
      <w:spacing w:before="80" w:after="80"/>
      <w:contextualSpacing/>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pPr>
  </w:style>
  <w:style w:type="character" w:customStyle="1" w:styleId="FooterChar">
    <w:name w:val="Footer Char"/>
    <w:basedOn w:val="DefaultParagraphFont"/>
    <w:link w:val="Footer"/>
    <w:uiPriority w:val="99"/>
    <w:rsid w:val="00C46BFB"/>
  </w:style>
  <w:style w:type="paragraph" w:styleId="ListParagraph">
    <w:name w:val="List Paragraph"/>
    <w:basedOn w:val="Normal"/>
    <w:uiPriority w:val="34"/>
    <w:qFormat/>
    <w:rsid w:val="00C46BFB"/>
    <w:pPr>
      <w:ind w:left="720"/>
      <w:contextualSpacing/>
    </w:pPr>
  </w:style>
  <w:style w:type="paragraph" w:styleId="BalloonText">
    <w:name w:val="Balloon Text"/>
    <w:basedOn w:val="Normal"/>
    <w:link w:val="BalloonTextChar"/>
    <w:uiPriority w:val="99"/>
    <w:semiHidden/>
    <w:unhideWhenUsed/>
    <w:rsid w:val="000B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70"/>
    <w:rPr>
      <w:rFonts w:ascii="Segoe UI" w:hAnsi="Segoe UI" w:cs="Segoe UI"/>
      <w:sz w:val="18"/>
      <w:szCs w:val="18"/>
    </w:rPr>
  </w:style>
  <w:style w:type="character" w:customStyle="1" w:styleId="Heading2Char">
    <w:name w:val="Heading 2 Char"/>
    <w:basedOn w:val="DefaultParagraphFont"/>
    <w:link w:val="Heading2"/>
    <w:rsid w:val="00521B59"/>
    <w:rPr>
      <w:rFonts w:ascii="Arial" w:hAnsi="Arial" w:cstheme="minorHAnsi"/>
      <w:b/>
      <w:caps/>
      <w:color w:val="1F497D" w:themeColor="text2"/>
      <w:sz w:val="24"/>
      <w:szCs w:val="24"/>
    </w:rPr>
  </w:style>
  <w:style w:type="paragraph" w:customStyle="1" w:styleId="TableText">
    <w:name w:val="Table Text"/>
    <w:basedOn w:val="Normal"/>
    <w:rsid w:val="00CB645A"/>
    <w:pPr>
      <w:spacing w:before="20"/>
    </w:pPr>
    <w:rPr>
      <w:rFonts w:eastAsia="Times New Roman" w:cs="Arial"/>
      <w:noProof/>
      <w:sz w:val="24"/>
      <w:szCs w:val="24"/>
    </w:rPr>
  </w:style>
  <w:style w:type="character" w:styleId="Hyperlink">
    <w:name w:val="Hyperlink"/>
    <w:basedOn w:val="DefaultParagraphFont"/>
    <w:uiPriority w:val="99"/>
    <w:unhideWhenUsed/>
    <w:rsid w:val="00823897"/>
    <w:rPr>
      <w:color w:val="0000FF" w:themeColor="hyperlink"/>
      <w:u w:val="single"/>
    </w:rPr>
  </w:style>
  <w:style w:type="paragraph" w:customStyle="1" w:styleId="ProcTitle">
    <w:name w:val="ProcTitle"/>
    <w:basedOn w:val="Normal"/>
    <w:link w:val="ProcTitleChar"/>
    <w:qFormat/>
    <w:rsid w:val="00EC2EC0"/>
  </w:style>
  <w:style w:type="paragraph" w:customStyle="1" w:styleId="ProcedureTitle">
    <w:name w:val="ProcedureTitle"/>
    <w:basedOn w:val="ProcTitle"/>
    <w:next w:val="Normal"/>
    <w:link w:val="ProcedureTitleChar"/>
    <w:qFormat/>
    <w:rsid w:val="00EC2EC0"/>
    <w:rPr>
      <w:rFonts w:cs="Arial"/>
      <w:b/>
      <w:sz w:val="28"/>
      <w:szCs w:val="28"/>
    </w:rPr>
  </w:style>
  <w:style w:type="character" w:customStyle="1" w:styleId="ProcTitleChar">
    <w:name w:val="ProcTitle Char"/>
    <w:basedOn w:val="DefaultParagraphFont"/>
    <w:link w:val="ProcTitle"/>
    <w:rsid w:val="00EC2EC0"/>
  </w:style>
  <w:style w:type="character" w:customStyle="1" w:styleId="ProcedureTitleChar">
    <w:name w:val="ProcedureTitle Char"/>
    <w:basedOn w:val="ProcTitleChar"/>
    <w:link w:val="ProcedureTitle"/>
    <w:rsid w:val="00EC2EC0"/>
    <w:rPr>
      <w:rFonts w:ascii="Arial" w:hAnsi="Arial" w:cs="Arial"/>
      <w:b/>
      <w:sz w:val="28"/>
      <w:szCs w:val="28"/>
    </w:rPr>
  </w:style>
  <w:style w:type="character" w:customStyle="1" w:styleId="Heading1Char">
    <w:name w:val="Heading 1 Char"/>
    <w:basedOn w:val="DefaultParagraphFont"/>
    <w:link w:val="Heading1"/>
    <w:uiPriority w:val="9"/>
    <w:rsid w:val="00F60B14"/>
    <w:rPr>
      <w:rFonts w:ascii="Arial" w:eastAsiaTheme="majorEastAsia" w:hAnsi="Arial" w:cstheme="majorBidi"/>
      <w:b/>
      <w:bCs/>
      <w:color w:val="365F91" w:themeColor="accent1" w:themeShade="BF"/>
      <w:sz w:val="36"/>
      <w:szCs w:val="32"/>
    </w:rPr>
  </w:style>
  <w:style w:type="table" w:styleId="TableGrid">
    <w:name w:val="Table Grid"/>
    <w:basedOn w:val="TableNormal"/>
    <w:uiPriority w:val="59"/>
    <w:rsid w:val="00C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1AF"/>
    <w:rPr>
      <w:sz w:val="16"/>
      <w:szCs w:val="16"/>
    </w:rPr>
  </w:style>
  <w:style w:type="paragraph" w:styleId="CommentText">
    <w:name w:val="annotation text"/>
    <w:basedOn w:val="Normal"/>
    <w:link w:val="CommentTextChar"/>
    <w:uiPriority w:val="99"/>
    <w:semiHidden/>
    <w:unhideWhenUsed/>
    <w:rsid w:val="008301AF"/>
    <w:rPr>
      <w:sz w:val="20"/>
      <w:szCs w:val="20"/>
    </w:rPr>
  </w:style>
  <w:style w:type="character" w:customStyle="1" w:styleId="CommentTextChar">
    <w:name w:val="Comment Text Char"/>
    <w:basedOn w:val="DefaultParagraphFont"/>
    <w:link w:val="CommentText"/>
    <w:uiPriority w:val="99"/>
    <w:semiHidden/>
    <w:rsid w:val="008301AF"/>
    <w:rPr>
      <w:sz w:val="20"/>
      <w:szCs w:val="20"/>
    </w:rPr>
  </w:style>
  <w:style w:type="paragraph" w:styleId="CommentSubject">
    <w:name w:val="annotation subject"/>
    <w:basedOn w:val="CommentText"/>
    <w:next w:val="CommentText"/>
    <w:link w:val="CommentSubjectChar"/>
    <w:uiPriority w:val="99"/>
    <w:semiHidden/>
    <w:unhideWhenUsed/>
    <w:rsid w:val="008301AF"/>
    <w:rPr>
      <w:b/>
      <w:bCs/>
    </w:rPr>
  </w:style>
  <w:style w:type="character" w:customStyle="1" w:styleId="CommentSubjectChar">
    <w:name w:val="Comment Subject Char"/>
    <w:basedOn w:val="CommentTextChar"/>
    <w:link w:val="CommentSubject"/>
    <w:uiPriority w:val="99"/>
    <w:semiHidden/>
    <w:rsid w:val="008301AF"/>
    <w:rPr>
      <w:b/>
      <w:bCs/>
      <w:sz w:val="20"/>
      <w:szCs w:val="20"/>
    </w:rPr>
  </w:style>
  <w:style w:type="character" w:styleId="UnresolvedMention">
    <w:name w:val="Unresolved Mention"/>
    <w:basedOn w:val="DefaultParagraphFont"/>
    <w:uiPriority w:val="99"/>
    <w:semiHidden/>
    <w:unhideWhenUsed/>
    <w:rsid w:val="008D3872"/>
    <w:rPr>
      <w:color w:val="605E5C"/>
      <w:shd w:val="clear" w:color="auto" w:fill="E1DFDD"/>
    </w:rPr>
  </w:style>
  <w:style w:type="character" w:styleId="FollowedHyperlink">
    <w:name w:val="FollowedHyperlink"/>
    <w:basedOn w:val="DefaultParagraphFont"/>
    <w:uiPriority w:val="99"/>
    <w:semiHidden/>
    <w:unhideWhenUsed/>
    <w:rsid w:val="00066069"/>
    <w:rPr>
      <w:color w:val="800080" w:themeColor="followedHyperlink"/>
      <w:u w:val="single"/>
    </w:rPr>
  </w:style>
  <w:style w:type="character" w:customStyle="1" w:styleId="apple-converted-space">
    <w:name w:val="apple-converted-space"/>
    <w:basedOn w:val="DefaultParagraphFont"/>
    <w:rsid w:val="00AB047F"/>
  </w:style>
  <w:style w:type="character" w:customStyle="1" w:styleId="StyleLatinArialComplexArial11pt">
    <w:name w:val="Style (Latin) Arial (Complex) Arial 11 pt"/>
    <w:basedOn w:val="DefaultParagraphFont"/>
    <w:rsid w:val="008503E9"/>
    <w:rPr>
      <w:rFonts w:ascii="Arial" w:hAnsi="Arial" w:cs="Arial" w:hint="default"/>
    </w:rPr>
  </w:style>
  <w:style w:type="paragraph" w:customStyle="1" w:styleId="Subhead2">
    <w:name w:val="Subhead 2"/>
    <w:basedOn w:val="Normal"/>
    <w:qFormat/>
    <w:rsid w:val="004624EC"/>
    <w:pPr>
      <w:spacing w:before="360"/>
    </w:pPr>
    <w:rPr>
      <w:b/>
      <w:caps/>
      <w:color w:val="4F81BD" w:themeColor="accent1"/>
      <w:sz w:val="24"/>
      <w:szCs w:val="24"/>
    </w:rPr>
  </w:style>
  <w:style w:type="character" w:customStyle="1" w:styleId="Heading3Char">
    <w:name w:val="Heading 3 Char"/>
    <w:basedOn w:val="DefaultParagraphFont"/>
    <w:link w:val="Heading3"/>
    <w:uiPriority w:val="9"/>
    <w:rsid w:val="004F7CED"/>
    <w:rPr>
      <w:rFonts w:ascii="Arial" w:eastAsiaTheme="majorEastAsia" w:hAnsi="Arial" w:cstheme="majorBidi"/>
      <w:b/>
      <w:szCs w:val="24"/>
    </w:rPr>
  </w:style>
  <w:style w:type="character" w:customStyle="1" w:styleId="normaltextrun">
    <w:name w:val="normaltextrun"/>
    <w:basedOn w:val="DefaultParagraphFont"/>
    <w:rsid w:val="00835D59"/>
  </w:style>
  <w:style w:type="paragraph" w:styleId="Caption">
    <w:name w:val="caption"/>
    <w:basedOn w:val="Normal"/>
    <w:next w:val="Normal"/>
    <w:uiPriority w:val="35"/>
    <w:unhideWhenUsed/>
    <w:qFormat/>
    <w:rsid w:val="007D64F6"/>
    <w:pPr>
      <w:spacing w:before="120"/>
    </w:pPr>
    <w:rPr>
      <w:i/>
      <w:iCs/>
      <w:szCs w:val="18"/>
    </w:rPr>
  </w:style>
  <w:style w:type="table" w:styleId="PlainTable1">
    <w:name w:val="Plain Table 1"/>
    <w:basedOn w:val="TableNormal"/>
    <w:uiPriority w:val="41"/>
    <w:rsid w:val="007269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C37D2A"/>
  </w:style>
  <w:style w:type="paragraph" w:styleId="Revision">
    <w:name w:val="Revision"/>
    <w:hidden/>
    <w:uiPriority w:val="99"/>
    <w:semiHidden/>
    <w:rsid w:val="00C31C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0716">
      <w:bodyDiv w:val="1"/>
      <w:marLeft w:val="0"/>
      <w:marRight w:val="0"/>
      <w:marTop w:val="0"/>
      <w:marBottom w:val="0"/>
      <w:divBdr>
        <w:top w:val="none" w:sz="0" w:space="0" w:color="auto"/>
        <w:left w:val="none" w:sz="0" w:space="0" w:color="auto"/>
        <w:bottom w:val="none" w:sz="0" w:space="0" w:color="auto"/>
        <w:right w:val="none" w:sz="0" w:space="0" w:color="auto"/>
      </w:divBdr>
    </w:div>
    <w:div w:id="1092513793">
      <w:bodyDiv w:val="1"/>
      <w:marLeft w:val="0"/>
      <w:marRight w:val="0"/>
      <w:marTop w:val="0"/>
      <w:marBottom w:val="0"/>
      <w:divBdr>
        <w:top w:val="none" w:sz="0" w:space="0" w:color="auto"/>
        <w:left w:val="none" w:sz="0" w:space="0" w:color="auto"/>
        <w:bottom w:val="none" w:sz="0" w:space="0" w:color="auto"/>
        <w:right w:val="none" w:sz="0" w:space="0" w:color="auto"/>
      </w:divBdr>
    </w:div>
    <w:div w:id="1595167294">
      <w:bodyDiv w:val="1"/>
      <w:marLeft w:val="0"/>
      <w:marRight w:val="0"/>
      <w:marTop w:val="0"/>
      <w:marBottom w:val="0"/>
      <w:divBdr>
        <w:top w:val="none" w:sz="0" w:space="0" w:color="auto"/>
        <w:left w:val="none" w:sz="0" w:space="0" w:color="auto"/>
        <w:bottom w:val="none" w:sz="0" w:space="0" w:color="auto"/>
        <w:right w:val="none" w:sz="0" w:space="0" w:color="auto"/>
      </w:divBdr>
    </w:div>
    <w:div w:id="17718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ohiodas.sharepoint.com/sites/EDUOECDataTeam/Shared%20Documents/General/Annual%20Performance%20Report/Indicator%20Target%20Setting/Indicator%20Fact%20Sheets/Indicators%2015%20&amp;%2016/Data/Indicator%2015%20Visualization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Indicator%20Target%20Setting/Indicator%20Fact%20Sheets/Indicators%2015%20&amp;%2016/Data/Indicator%2015%20Visualization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r>
              <a:rPr lang="en-US" sz="1100" b="1"/>
              <a:t>Indicator 15: Resolution Sessions</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tx>
            <c:strRef>
              <c:f>Sheet1!$A$23</c:f>
              <c:strCache>
                <c:ptCount val="1"/>
                <c:pt idx="0">
                  <c:v>Data</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dLbl>
              <c:idx val="4"/>
              <c:layout>
                <c:manualLayout>
                  <c:x val="-3.9015904261967257E-2"/>
                  <c:y val="-6.83910761154855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8F-48BF-AF23-D637A85D048B}"/>
                </c:ext>
              </c:extLst>
            </c:dLbl>
            <c:dLbl>
              <c:idx val="5"/>
              <c:layout>
                <c:manualLayout>
                  <c:x val="-2.3731252343457212E-2"/>
                  <c:y val="-5.727996500437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8F-48BF-AF23-D637A85D048B}"/>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Sheet1!$B$22:$G$22</c:f>
              <c:strCache>
                <c:ptCount val="6"/>
                <c:pt idx="0">
                  <c:v>2014-2015</c:v>
                </c:pt>
                <c:pt idx="1">
                  <c:v>2015-2016</c:v>
                </c:pt>
                <c:pt idx="2">
                  <c:v>2016-2017</c:v>
                </c:pt>
                <c:pt idx="3">
                  <c:v>2017-2018</c:v>
                </c:pt>
                <c:pt idx="4">
                  <c:v>2018-2019</c:v>
                </c:pt>
                <c:pt idx="5">
                  <c:v>2019-2020</c:v>
                </c:pt>
              </c:strCache>
            </c:strRef>
          </c:cat>
          <c:val>
            <c:numRef>
              <c:f>Sheet1!$B$23:$G$23</c:f>
              <c:numCache>
                <c:formatCode>0.00%</c:formatCode>
                <c:ptCount val="6"/>
                <c:pt idx="0">
                  <c:v>0.4304</c:v>
                </c:pt>
                <c:pt idx="1">
                  <c:v>0.5</c:v>
                </c:pt>
                <c:pt idx="2">
                  <c:v>0.41070000000000001</c:v>
                </c:pt>
                <c:pt idx="3">
                  <c:v>0.54169999999999996</c:v>
                </c:pt>
                <c:pt idx="4">
                  <c:v>0.36070000000000002</c:v>
                </c:pt>
                <c:pt idx="5">
                  <c:v>0</c:v>
                </c:pt>
              </c:numCache>
            </c:numRef>
          </c:val>
          <c:smooth val="0"/>
          <c:extLst>
            <c:ext xmlns:c16="http://schemas.microsoft.com/office/drawing/2014/chart" uri="{C3380CC4-5D6E-409C-BE32-E72D297353CC}">
              <c16:uniqueId val="{00000002-2F8F-48BF-AF23-D637A85D048B}"/>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Indicator 15: Resolution Sessions Resolved Through Settlement Agreements</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2"/>
          <c:order val="2"/>
          <c:tx>
            <c:strRef>
              <c:f>Sheet1!$A$4</c:f>
              <c:strCache>
                <c:ptCount val="1"/>
                <c:pt idx="0">
                  <c:v>Data</c:v>
                </c:pt>
              </c:strCache>
            </c:strRef>
          </c:tx>
          <c:spPr>
            <a:pattFill prst="narVert">
              <a:fgClr>
                <a:schemeClr val="bg1"/>
              </a:fgClr>
              <a:bgClr>
                <a:srgbClr val="146401"/>
              </a:bgClr>
            </a:pattFill>
            <a:ln>
              <a:noFill/>
            </a:ln>
            <a:effectLst/>
          </c:spPr>
          <c:invertIfNegative val="0"/>
          <c:dPt>
            <c:idx val="0"/>
            <c:invertIfNegative val="0"/>
            <c:bubble3D val="0"/>
            <c:spPr>
              <a:pattFill prst="narVert">
                <a:fgClr>
                  <a:schemeClr val="bg1"/>
                </a:fgClr>
                <a:bgClr>
                  <a:srgbClr val="146401"/>
                </a:bgClr>
              </a:pattFill>
              <a:ln>
                <a:noFill/>
              </a:ln>
              <a:effectLst/>
            </c:spPr>
            <c:extLst>
              <c:ext xmlns:c16="http://schemas.microsoft.com/office/drawing/2014/chart" uri="{C3380CC4-5D6E-409C-BE32-E72D297353CC}">
                <c16:uniqueId val="{00000001-97EB-40C7-B284-DDF517146ECD}"/>
              </c:ext>
            </c:extLst>
          </c:dPt>
          <c:dPt>
            <c:idx val="1"/>
            <c:invertIfNegative val="0"/>
            <c:bubble3D val="0"/>
            <c:spPr>
              <a:pattFill prst="narVert">
                <a:fgClr>
                  <a:schemeClr val="bg1"/>
                </a:fgClr>
                <a:bgClr>
                  <a:srgbClr val="146401"/>
                </a:bgClr>
              </a:pattFill>
              <a:ln>
                <a:noFill/>
              </a:ln>
              <a:effectLst/>
            </c:spPr>
            <c:extLst>
              <c:ext xmlns:c16="http://schemas.microsoft.com/office/drawing/2014/chart" uri="{C3380CC4-5D6E-409C-BE32-E72D297353CC}">
                <c16:uniqueId val="{00000003-97EB-40C7-B284-DDF517146ECD}"/>
              </c:ext>
            </c:extLst>
          </c:dPt>
          <c:dPt>
            <c:idx val="2"/>
            <c:invertIfNegative val="0"/>
            <c:bubble3D val="0"/>
            <c:spPr>
              <a:pattFill prst="narVert">
                <a:fgClr>
                  <a:schemeClr val="bg1"/>
                </a:fgClr>
                <a:bgClr>
                  <a:srgbClr val="146401"/>
                </a:bgClr>
              </a:pattFill>
              <a:ln>
                <a:noFill/>
              </a:ln>
              <a:effectLst/>
            </c:spPr>
            <c:extLst>
              <c:ext xmlns:c16="http://schemas.microsoft.com/office/drawing/2014/chart" uri="{C3380CC4-5D6E-409C-BE32-E72D297353CC}">
                <c16:uniqueId val="{00000005-97EB-40C7-B284-DDF517146ECD}"/>
              </c:ext>
            </c:extLst>
          </c:dPt>
          <c:dPt>
            <c:idx val="3"/>
            <c:invertIfNegative val="0"/>
            <c:bubble3D val="0"/>
            <c:spPr>
              <a:pattFill prst="narVert">
                <a:fgClr>
                  <a:schemeClr val="bg1"/>
                </a:fgClr>
                <a:bgClr>
                  <a:srgbClr val="146401"/>
                </a:bgClr>
              </a:pattFill>
              <a:ln>
                <a:noFill/>
              </a:ln>
              <a:effectLst/>
            </c:spPr>
            <c:extLst>
              <c:ext xmlns:c16="http://schemas.microsoft.com/office/drawing/2014/chart" uri="{C3380CC4-5D6E-409C-BE32-E72D297353CC}">
                <c16:uniqueId val="{00000007-97EB-40C7-B284-DDF517146ECD}"/>
              </c:ext>
            </c:extLst>
          </c:dPt>
          <c:dPt>
            <c:idx val="4"/>
            <c:invertIfNegative val="0"/>
            <c:bubble3D val="0"/>
            <c:spPr>
              <a:pattFill prst="narHorz">
                <a:fgClr>
                  <a:schemeClr val="bg1"/>
                </a:fgClr>
                <a:bgClr>
                  <a:srgbClr val="953735"/>
                </a:bgClr>
              </a:pattFill>
              <a:ln>
                <a:noFill/>
              </a:ln>
              <a:effectLst/>
            </c:spPr>
            <c:extLst>
              <c:ext xmlns:c16="http://schemas.microsoft.com/office/drawing/2014/chart" uri="{C3380CC4-5D6E-409C-BE32-E72D297353CC}">
                <c16:uniqueId val="{00000009-97EB-40C7-B284-DDF517146ECD}"/>
              </c:ext>
            </c:extLst>
          </c:dPt>
          <c:dLbls>
            <c:spPr>
              <a:solidFill>
                <a:schemeClr val="bg1"/>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2014-2015</c:v>
                </c:pt>
                <c:pt idx="1">
                  <c:v>2015-2016</c:v>
                </c:pt>
                <c:pt idx="2">
                  <c:v>2016-2017</c:v>
                </c:pt>
                <c:pt idx="3">
                  <c:v>2017-2018</c:v>
                </c:pt>
                <c:pt idx="4">
                  <c:v>2018-2019</c:v>
                </c:pt>
                <c:pt idx="5">
                  <c:v>2019-2020</c:v>
                </c:pt>
              </c:strCache>
            </c:strRef>
          </c:cat>
          <c:val>
            <c:numRef>
              <c:f>Sheet1!$B$4:$G$4</c:f>
              <c:numCache>
                <c:formatCode>0.00%</c:formatCode>
                <c:ptCount val="6"/>
                <c:pt idx="0">
                  <c:v>0.4304</c:v>
                </c:pt>
                <c:pt idx="1">
                  <c:v>0.5</c:v>
                </c:pt>
                <c:pt idx="2">
                  <c:v>0.41070000000000001</c:v>
                </c:pt>
                <c:pt idx="3">
                  <c:v>0.54169999999999996</c:v>
                </c:pt>
                <c:pt idx="4">
                  <c:v>0.36070000000000002</c:v>
                </c:pt>
                <c:pt idx="5">
                  <c:v>0</c:v>
                </c:pt>
              </c:numCache>
            </c:numRef>
          </c:val>
          <c:extLst>
            <c:ext xmlns:c16="http://schemas.microsoft.com/office/drawing/2014/chart" uri="{C3380CC4-5D6E-409C-BE32-E72D297353CC}">
              <c16:uniqueId val="{0000000A-97EB-40C7-B284-DDF517146ECD}"/>
            </c:ext>
          </c:extLst>
        </c:ser>
        <c:dLbls>
          <c:showLegendKey val="0"/>
          <c:showVal val="0"/>
          <c:showCatName val="0"/>
          <c:showSerName val="0"/>
          <c:showPercent val="0"/>
          <c:showBubbleSize val="0"/>
        </c:dLbls>
        <c:gapWidth val="219"/>
        <c:axId val="3563136"/>
        <c:axId val="3561056"/>
      </c:barChart>
      <c:lineChart>
        <c:grouping val="standard"/>
        <c:varyColors val="0"/>
        <c:ser>
          <c:idx val="0"/>
          <c:order val="0"/>
          <c:tx>
            <c:strRef>
              <c:f>Sheet1!$A$2</c:f>
              <c:strCache>
                <c:ptCount val="1"/>
                <c:pt idx="0">
                  <c:v>Lower Target</c:v>
                </c:pt>
              </c:strCache>
            </c:strRef>
          </c:tx>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solidFill>
                <a:schemeClr val="bg1"/>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2014-2015</c:v>
                </c:pt>
                <c:pt idx="1">
                  <c:v>2015-2016</c:v>
                </c:pt>
                <c:pt idx="2">
                  <c:v>2016-2017</c:v>
                </c:pt>
                <c:pt idx="3">
                  <c:v>2017-2018</c:v>
                </c:pt>
                <c:pt idx="4">
                  <c:v>2018-2019</c:v>
                </c:pt>
                <c:pt idx="5">
                  <c:v>2019-2020</c:v>
                </c:pt>
              </c:strCache>
            </c:strRef>
          </c:cat>
          <c:val>
            <c:numRef>
              <c:f>Sheet1!$B$2:$G$2</c:f>
              <c:numCache>
                <c:formatCode>0.00%</c:formatCode>
                <c:ptCount val="6"/>
                <c:pt idx="0">
                  <c:v>0.38</c:v>
                </c:pt>
                <c:pt idx="1">
                  <c:v>0.39</c:v>
                </c:pt>
                <c:pt idx="2">
                  <c:v>0.4</c:v>
                </c:pt>
                <c:pt idx="3">
                  <c:v>0.41</c:v>
                </c:pt>
                <c:pt idx="4">
                  <c:v>0.42</c:v>
                </c:pt>
                <c:pt idx="5">
                  <c:v>0.42</c:v>
                </c:pt>
              </c:numCache>
            </c:numRef>
          </c:val>
          <c:smooth val="0"/>
          <c:extLst>
            <c:ext xmlns:c16="http://schemas.microsoft.com/office/drawing/2014/chart" uri="{C3380CC4-5D6E-409C-BE32-E72D297353CC}">
              <c16:uniqueId val="{0000000B-97EB-40C7-B284-DDF517146ECD}"/>
            </c:ext>
          </c:extLst>
        </c:ser>
        <c:ser>
          <c:idx val="1"/>
          <c:order val="1"/>
          <c:tx>
            <c:strRef>
              <c:f>Sheet1!$A$3</c:f>
              <c:strCache>
                <c:ptCount val="1"/>
                <c:pt idx="0">
                  <c:v>Upper Target</c:v>
                </c:pt>
              </c:strCache>
            </c:strRef>
          </c:tx>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Pt>
            <c:idx val="0"/>
            <c:marker>
              <c:symbol val="circle"/>
              <c:size val="5"/>
              <c:spPr>
                <a:solidFill>
                  <a:schemeClr val="tx1"/>
                </a:solidFill>
                <a:ln w="9525">
                  <a:solidFill>
                    <a:schemeClr val="tx1"/>
                  </a:solidFill>
                  <a:prstDash val="sysDot"/>
                </a:ln>
                <a:effectLst/>
              </c:spPr>
            </c:marker>
            <c:bubble3D val="0"/>
            <c:spPr>
              <a:ln w="28575" cap="rnd">
                <a:solidFill>
                  <a:schemeClr val="tx1"/>
                </a:solidFill>
                <a:prstDash val="sysDot"/>
                <a:round/>
              </a:ln>
              <a:effectLst/>
            </c:spPr>
            <c:extLst>
              <c:ext xmlns:c16="http://schemas.microsoft.com/office/drawing/2014/chart" uri="{C3380CC4-5D6E-409C-BE32-E72D297353CC}">
                <c16:uniqueId val="{0000000D-97EB-40C7-B284-DDF517146ECD}"/>
              </c:ext>
            </c:extLst>
          </c:dPt>
          <c:dPt>
            <c:idx val="1"/>
            <c:marker>
              <c:symbol val="circle"/>
              <c:size val="5"/>
              <c:spPr>
                <a:solidFill>
                  <a:schemeClr val="tx1"/>
                </a:solidFill>
                <a:ln w="9525">
                  <a:solidFill>
                    <a:schemeClr val="tx1"/>
                  </a:solidFill>
                  <a:prstDash val="sysDot"/>
                </a:ln>
                <a:effectLst/>
              </c:spPr>
            </c:marker>
            <c:bubble3D val="0"/>
            <c:spPr>
              <a:ln w="28575" cap="rnd">
                <a:solidFill>
                  <a:schemeClr val="tx1"/>
                </a:solidFill>
                <a:prstDash val="sysDot"/>
                <a:round/>
              </a:ln>
              <a:effectLst/>
            </c:spPr>
            <c:extLst>
              <c:ext xmlns:c16="http://schemas.microsoft.com/office/drawing/2014/chart" uri="{C3380CC4-5D6E-409C-BE32-E72D297353CC}">
                <c16:uniqueId val="{0000000F-97EB-40C7-B284-DDF517146ECD}"/>
              </c:ext>
            </c:extLst>
          </c:dPt>
          <c:dPt>
            <c:idx val="2"/>
            <c:marker>
              <c:symbol val="circle"/>
              <c:size val="5"/>
              <c:spPr>
                <a:solidFill>
                  <a:schemeClr val="tx1"/>
                </a:solidFill>
                <a:ln w="9525">
                  <a:solidFill>
                    <a:schemeClr val="tx1"/>
                  </a:solidFill>
                  <a:prstDash val="sysDot"/>
                </a:ln>
                <a:effectLst/>
              </c:spPr>
            </c:marker>
            <c:bubble3D val="0"/>
            <c:spPr>
              <a:ln w="28575" cap="rnd">
                <a:solidFill>
                  <a:schemeClr val="tx1"/>
                </a:solidFill>
                <a:prstDash val="sysDot"/>
                <a:round/>
              </a:ln>
              <a:effectLst/>
            </c:spPr>
            <c:extLst>
              <c:ext xmlns:c16="http://schemas.microsoft.com/office/drawing/2014/chart" uri="{C3380CC4-5D6E-409C-BE32-E72D297353CC}">
                <c16:uniqueId val="{00000011-97EB-40C7-B284-DDF517146ECD}"/>
              </c:ext>
            </c:extLst>
          </c:dPt>
          <c:dPt>
            <c:idx val="3"/>
            <c:marker>
              <c:symbol val="circle"/>
              <c:size val="5"/>
              <c:spPr>
                <a:solidFill>
                  <a:schemeClr val="tx1"/>
                </a:solidFill>
                <a:ln w="9525">
                  <a:solidFill>
                    <a:schemeClr val="tx1"/>
                  </a:solidFill>
                  <a:prstDash val="sysDot"/>
                </a:ln>
                <a:effectLst/>
              </c:spPr>
            </c:marker>
            <c:bubble3D val="0"/>
            <c:spPr>
              <a:ln w="28575" cap="rnd">
                <a:solidFill>
                  <a:schemeClr val="tx1"/>
                </a:solidFill>
                <a:prstDash val="sysDot"/>
                <a:round/>
              </a:ln>
              <a:effectLst/>
            </c:spPr>
            <c:extLst>
              <c:ext xmlns:c16="http://schemas.microsoft.com/office/drawing/2014/chart" uri="{C3380CC4-5D6E-409C-BE32-E72D297353CC}">
                <c16:uniqueId val="{00000013-97EB-40C7-B284-DDF517146ECD}"/>
              </c:ext>
            </c:extLst>
          </c:dPt>
          <c:dLbls>
            <c:spPr>
              <a:solidFill>
                <a:schemeClr val="bg1"/>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2014-2015</c:v>
                </c:pt>
                <c:pt idx="1">
                  <c:v>2015-2016</c:v>
                </c:pt>
                <c:pt idx="2">
                  <c:v>2016-2017</c:v>
                </c:pt>
                <c:pt idx="3">
                  <c:v>2017-2018</c:v>
                </c:pt>
                <c:pt idx="4">
                  <c:v>2018-2019</c:v>
                </c:pt>
                <c:pt idx="5">
                  <c:v>2019-2020</c:v>
                </c:pt>
              </c:strCache>
            </c:strRef>
          </c:cat>
          <c:val>
            <c:numRef>
              <c:f>Sheet1!$B$3:$G$3</c:f>
              <c:numCache>
                <c:formatCode>0.00%</c:formatCode>
                <c:ptCount val="6"/>
                <c:pt idx="0">
                  <c:v>0.46</c:v>
                </c:pt>
                <c:pt idx="1">
                  <c:v>0.47</c:v>
                </c:pt>
                <c:pt idx="2">
                  <c:v>0.48</c:v>
                </c:pt>
                <c:pt idx="3">
                  <c:v>0.49</c:v>
                </c:pt>
                <c:pt idx="4">
                  <c:v>0.5</c:v>
                </c:pt>
                <c:pt idx="5">
                  <c:v>0.51</c:v>
                </c:pt>
              </c:numCache>
            </c:numRef>
          </c:val>
          <c:smooth val="0"/>
          <c:extLst>
            <c:ext xmlns:c16="http://schemas.microsoft.com/office/drawing/2014/chart" uri="{C3380CC4-5D6E-409C-BE32-E72D297353CC}">
              <c16:uniqueId val="{00000014-97EB-40C7-B284-DDF517146ECD}"/>
            </c:ext>
          </c:extLst>
        </c:ser>
        <c:dLbls>
          <c:showLegendKey val="0"/>
          <c:showVal val="0"/>
          <c:showCatName val="0"/>
          <c:showSerName val="0"/>
          <c:showPercent val="0"/>
          <c:showBubbleSize val="0"/>
        </c:dLbls>
        <c:marker val="1"/>
        <c:smooth val="0"/>
        <c:axId val="3563136"/>
        <c:axId val="3561056"/>
      </c:lineChart>
      <c:catAx>
        <c:axId val="356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561056"/>
        <c:crosses val="autoZero"/>
        <c:auto val="1"/>
        <c:lblAlgn val="ctr"/>
        <c:lblOffset val="100"/>
        <c:noMultiLvlLbl val="0"/>
      </c:catAx>
      <c:valAx>
        <c:axId val="3561056"/>
        <c:scaling>
          <c:orientation val="minMax"/>
        </c:scaling>
        <c:delete val="1"/>
        <c:axPos val="l"/>
        <c:numFmt formatCode="0.00%" sourceLinked="1"/>
        <c:majorTickMark val="none"/>
        <c:minorTickMark val="none"/>
        <c:tickLblPos val="nextTo"/>
        <c:crossAx val="3563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30db70-af77-40f7-bcb7-3a1ec583ab9a">
      <UserInfo>
        <DisplayName>Oblak, Veronica</DisplayName>
        <AccountId>377</AccountId>
        <AccountType/>
      </UserInfo>
      <UserInfo>
        <DisplayName>Beard, Shelley</DisplayName>
        <AccountId>40</AccountId>
        <AccountType/>
      </UserInfo>
      <UserInfo>
        <DisplayName>Callahan, Parise</DisplayName>
        <AccountId>66</AccountId>
        <AccountType/>
      </UserInfo>
      <UserInfo>
        <DisplayName>Coston, Caroline</DisplayName>
        <AccountId>78</AccountId>
        <AccountType/>
      </UserInfo>
      <UserInfo>
        <DisplayName>Drvota, Monica</DisplayName>
        <AccountId>44</AccountId>
        <AccountType/>
      </UserInfo>
      <UserInfo>
        <DisplayName>Petrarca, Joseph</DisplayName>
        <AccountId>12</AccountId>
        <AccountType/>
      </UserInfo>
      <UserInfo>
        <DisplayName>Baum, Rebecca</DisplayName>
        <AccountId>516</AccountId>
        <AccountType/>
      </UserInfo>
      <UserInfo>
        <DisplayName>Flowers, Megan</DisplayName>
        <AccountId>72</AccountId>
        <AccountType/>
      </UserInfo>
      <UserInfo>
        <DisplayName>Kleinman, Heidi</DisplayName>
        <AccountId>50</AccountId>
        <AccountType/>
      </UserInfo>
      <UserInfo>
        <DisplayName>Walker, Kelly</DisplayName>
        <AccountId>115</AccountId>
        <AccountType/>
      </UserInfo>
      <UserInfo>
        <DisplayName>Johnson, Karen</DisplayName>
        <AccountId>75</AccountId>
        <AccountType/>
      </UserInfo>
      <UserInfo>
        <DisplayName>Clingerman, Heather</DisplayName>
        <AccountId>107</AccountId>
        <AccountType/>
      </UserInfo>
      <UserInfo>
        <DisplayName>Schurch-Thomas, Tracy</DisplayName>
        <AccountId>76</AccountId>
        <AccountType/>
      </UserInfo>
      <UserInfo>
        <DisplayName>Waldron, Kara</DisplayName>
        <AccountId>46</AccountId>
        <AccountType/>
      </UserInfo>
      <UserInfo>
        <DisplayName>Odogwu, Michael</DisplayName>
        <AccountId>476</AccountId>
        <AccountType/>
      </UserInfo>
      <UserInfo>
        <DisplayName>Loesch, Matthew</DisplayName>
        <AccountId>305</AccountId>
        <AccountType/>
      </UserInfo>
      <UserInfo>
        <DisplayName>Horowitz-Moore, Jessica</DisplayName>
        <AccountId>446</AccountId>
        <AccountType/>
      </UserInfo>
      <UserInfo>
        <DisplayName>Siddens, Stephanie</DisplayName>
        <AccountId>62</AccountId>
        <AccountType/>
      </UserInfo>
      <UserInfo>
        <DisplayName>Shields, Jessica</DisplayName>
        <AccountId>160</AccountId>
        <AccountType/>
      </UserInfo>
      <UserInfo>
        <DisplayName>Singh, Immy</DisplayName>
        <AccountId>187</AccountId>
        <AccountType/>
      </UserInfo>
      <UserInfo>
        <DisplayName>Ginn, Crystal</DisplayName>
        <AccountId>106</AccountId>
        <AccountType/>
      </UserInfo>
      <UserInfo>
        <DisplayName>Poindexter, Nikki</DisplayName>
        <AccountId>81</AccountId>
        <AccountType/>
      </UserInfo>
      <UserInfo>
        <DisplayName>Loomis, Diane</DisplayName>
        <AccountId>6</AccountId>
        <AccountType/>
      </UserInfo>
      <UserInfo>
        <DisplayName>Grove, Wendy</DisplayName>
        <AccountId>127</AccountId>
        <AccountType/>
      </UserInfo>
      <UserInfo>
        <DisplayName>Mcglone, Megan</DisplayName>
        <AccountId>495</AccountId>
        <AccountType/>
      </UserInfo>
      <UserInfo>
        <DisplayName>Ward, Jo Hannah</DisplayName>
        <AccountId>45</AccountId>
        <AccountType/>
      </UserInfo>
    </SharedWithUsers>
    <reviewed xmlns="64a641e3-aed5-4e35-8843-c4d9e14eaf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C6273F30304947979A4DA2A3C86D4D" ma:contentTypeVersion="9" ma:contentTypeDescription="Create a new document." ma:contentTypeScope="" ma:versionID="fd3737be4f7864193dbc08ed3702df96">
  <xsd:schema xmlns:xsd="http://www.w3.org/2001/XMLSchema" xmlns:xs="http://www.w3.org/2001/XMLSchema" xmlns:p="http://schemas.microsoft.com/office/2006/metadata/properties" xmlns:ns2="64a641e3-aed5-4e35-8843-c4d9e14eafb2" xmlns:ns3="6b30db70-af77-40f7-bcb7-3a1ec583ab9a" targetNamespace="http://schemas.microsoft.com/office/2006/metadata/properties" ma:root="true" ma:fieldsID="51b72642bebf60a401f9ef3b3c8d982f" ns2:_="" ns3:_="">
    <xsd:import namespace="64a641e3-aed5-4e35-8843-c4d9e14eafb2"/>
    <xsd:import namespace="6b30db70-af77-40f7-bcb7-3a1ec583ab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641e3-aed5-4e35-8843-c4d9e14ea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viewed" ma:index="16" nillable="true" ma:displayName="reviewed" ma:format="Dropdown" ma:internalName="review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0db70-af77-40f7-bcb7-3a1ec583ab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762EF-8326-4F17-962E-753E4664F635}">
  <ds:schemaRefs>
    <ds:schemaRef ds:uri="http://schemas.microsoft.com/office/2006/metadata/properties"/>
    <ds:schemaRef ds:uri="http://schemas.microsoft.com/office/infopath/2007/PartnerControls"/>
    <ds:schemaRef ds:uri="6b30db70-af77-40f7-bcb7-3a1ec583ab9a"/>
    <ds:schemaRef ds:uri="64a641e3-aed5-4e35-8843-c4d9e14eafb2"/>
  </ds:schemaRefs>
</ds:datastoreItem>
</file>

<file path=customXml/itemProps2.xml><?xml version="1.0" encoding="utf-8"?>
<ds:datastoreItem xmlns:ds="http://schemas.openxmlformats.org/officeDocument/2006/customXml" ds:itemID="{755E06B0-BC17-4FDD-A55F-B7D6CF38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641e3-aed5-4e35-8843-c4d9e14eafb2"/>
    <ds:schemaRef ds:uri="6b30db70-af77-40f7-bcb7-3a1ec583a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E275D-2CEA-41CC-93C8-E3E436BDE77A}">
  <ds:schemaRefs>
    <ds:schemaRef ds:uri="http://schemas.openxmlformats.org/officeDocument/2006/bibliography"/>
  </ds:schemaRefs>
</ds:datastoreItem>
</file>

<file path=customXml/itemProps4.xml><?xml version="1.0" encoding="utf-8"?>
<ds:datastoreItem xmlns:ds="http://schemas.openxmlformats.org/officeDocument/2006/customXml" ds:itemID="{E79FF52F-1299-4C13-B4E8-C22B8772C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1032</Words>
  <Characters>5883</Characters>
  <Application>Microsoft Office Word</Application>
  <DocSecurity>0</DocSecurity>
  <Lines>49</Lines>
  <Paragraphs>13</Paragraphs>
  <ScaleCrop>false</ScaleCrop>
  <Company>Microsoft</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Rector, Ashley</cp:lastModifiedBy>
  <cp:revision>285</cp:revision>
  <cp:lastPrinted>2019-01-18T13:17:00Z</cp:lastPrinted>
  <dcterms:created xsi:type="dcterms:W3CDTF">2021-06-22T13:10:00Z</dcterms:created>
  <dcterms:modified xsi:type="dcterms:W3CDTF">2021-09-24T18:30:00Z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0x01010085C6273F30304947979A4DA2A3C86D4D</vt:lpwstr>
  </property>
  <property fmtid="{D5CDD505-2E9C-101B-9397-08002B2CF9AE}" pid="3" name="_dlc_DocIdItemGuid">
    <vt:lpwstr>2d79f8dd-5509-4d94-9ff5-049ce98bd56a</vt:lpwstr>
  </property>
  <property fmtid="{D5CDD505-2E9C-101B-9397-08002B2CF9AE}" pid="4" name="AuthorIds_UIVersion_4608">
    <vt:lpwstr>12</vt:lpwstr>
  </property>
  <property fmtid="{D5CDD505-2E9C-101B-9397-08002B2CF9AE}" pid="5" name="MSIP_Label_b320f288-ba83-4634-8624-b2a954eee516_Enabled">
    <vt:lpwstr>true</vt:lpwstr>
  </property>
  <property fmtid="{D5CDD505-2E9C-101B-9397-08002B2CF9AE}" pid="6" name="MSIP_Label_b320f288-ba83-4634-8624-b2a954eee516_SetDate">
    <vt:lpwstr>2021-05-02T13:21:47Z</vt:lpwstr>
  </property>
  <property fmtid="{D5CDD505-2E9C-101B-9397-08002B2CF9AE}" pid="7" name="MSIP_Label_b320f288-ba83-4634-8624-b2a954eee516_Method">
    <vt:lpwstr>Privileged</vt:lpwstr>
  </property>
  <property fmtid="{D5CDD505-2E9C-101B-9397-08002B2CF9AE}" pid="8" name="MSIP_Label_b320f288-ba83-4634-8624-b2a954eee516_Name">
    <vt:lpwstr>General</vt:lpwstr>
  </property>
  <property fmtid="{D5CDD505-2E9C-101B-9397-08002B2CF9AE}" pid="9" name="MSIP_Label_b320f288-ba83-4634-8624-b2a954eee516_SiteId">
    <vt:lpwstr>50f8fcc4-94d8-4f07-84eb-36ed57c7c8a2</vt:lpwstr>
  </property>
  <property fmtid="{D5CDD505-2E9C-101B-9397-08002B2CF9AE}" pid="10" name="MSIP_Label_b320f288-ba83-4634-8624-b2a954eee516_ActionId">
    <vt:lpwstr>6dc349f7-06dc-4c58-84a1-5c0d74dd979e</vt:lpwstr>
  </property>
  <property fmtid="{D5CDD505-2E9C-101B-9397-08002B2CF9AE}" pid="11" name="MSIP_Label_b320f288-ba83-4634-8624-b2a954eee516_ContentBits">
    <vt:lpwstr>0</vt:lpwstr>
  </property>
  <property fmtid="{D5CDD505-2E9C-101B-9397-08002B2CF9AE}" pid="12" name="Order">
    <vt:r8>66800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