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DCBC0" w14:textId="77777777" w:rsidR="002D7538" w:rsidRDefault="003A4BF1" w:rsidP="002A42BD">
      <w:pPr>
        <w:pStyle w:val="Heading1"/>
        <w:spacing w:before="0" w:after="0"/>
      </w:pPr>
      <w:r w:rsidRPr="00B554C4">
        <w:t>Indicator</w:t>
      </w:r>
      <w:r w:rsidR="00DD1776">
        <w:t xml:space="preserve"> 16</w:t>
      </w:r>
      <w:r w:rsidR="00192A88">
        <w:t>: Mediation Agreements</w:t>
      </w:r>
      <w:r w:rsidR="005C60D3">
        <w:t xml:space="preserve"> </w:t>
      </w:r>
    </w:p>
    <w:p w14:paraId="5B2707F6" w14:textId="4DB64BFB" w:rsidR="00C268F3" w:rsidRDefault="00C4793D" w:rsidP="002A42BD">
      <w:pPr>
        <w:pStyle w:val="Heading1"/>
        <w:spacing w:before="0"/>
      </w:pPr>
      <w:r w:rsidRPr="00B554C4">
        <w:t>Fact Sheet</w:t>
      </w:r>
    </w:p>
    <w:p w14:paraId="475FDCE0" w14:textId="19100E38" w:rsidR="00F81F73" w:rsidRDefault="000D1016" w:rsidP="00B25028">
      <w:pPr>
        <w:pStyle w:val="Heading2"/>
      </w:pPr>
      <w:r>
        <w:t>What does this indicator measure?</w:t>
      </w:r>
    </w:p>
    <w:p w14:paraId="7B3D45E6" w14:textId="6D281A77" w:rsidR="00447F00" w:rsidRDefault="00DB4AAA" w:rsidP="00447F00">
      <w:r>
        <w:t>Indicator 16 measures the percentage of mediations held that resulted in mediation agreements.</w:t>
      </w:r>
      <w:r w:rsidR="00447F00" w:rsidRPr="00447F00">
        <w:t xml:space="preserve"> </w:t>
      </w:r>
      <w:r w:rsidR="00447F00">
        <w:t>To calculate indicator 16:</w:t>
      </w:r>
    </w:p>
    <w:p w14:paraId="78AF73EC" w14:textId="3C8D4E57" w:rsidR="00447F00" w:rsidRPr="005B13C4" w:rsidRDefault="00447F00" w:rsidP="00447F00">
      <w:pPr>
        <w:pStyle w:val="ListParagraph"/>
        <w:numPr>
          <w:ilvl w:val="0"/>
          <w:numId w:val="23"/>
        </w:numPr>
      </w:pPr>
      <w:bookmarkStart w:id="0" w:name="_Hlk83028922"/>
      <w:r>
        <w:t>Take the n</w:t>
      </w:r>
      <w:r w:rsidRPr="005B13C4">
        <w:t xml:space="preserve">umber of </w:t>
      </w:r>
      <w:r>
        <w:t xml:space="preserve">mediations held that resulted in mediation </w:t>
      </w:r>
      <w:proofErr w:type="gramStart"/>
      <w:r>
        <w:t>agreements;</w:t>
      </w:r>
      <w:proofErr w:type="gramEnd"/>
      <w:r>
        <w:t xml:space="preserve"> </w:t>
      </w:r>
    </w:p>
    <w:p w14:paraId="7DFF302C" w14:textId="57D71D95" w:rsidR="00447F00" w:rsidRPr="0023033C" w:rsidRDefault="00447F00" w:rsidP="00447F00">
      <w:pPr>
        <w:pStyle w:val="ListParagraph"/>
        <w:numPr>
          <w:ilvl w:val="0"/>
          <w:numId w:val="23"/>
        </w:numPr>
      </w:pPr>
      <w:r>
        <w:t xml:space="preserve">Divide that number by the total number of mediations </w:t>
      </w:r>
      <w:proofErr w:type="gramStart"/>
      <w:r>
        <w:t>held</w:t>
      </w:r>
      <w:r w:rsidR="006F146C">
        <w:t>;</w:t>
      </w:r>
      <w:proofErr w:type="gramEnd"/>
    </w:p>
    <w:p w14:paraId="41E80989" w14:textId="4C29394A" w:rsidR="00447F00" w:rsidRDefault="00447F00" w:rsidP="00447F00">
      <w:pPr>
        <w:pStyle w:val="ListParagraph"/>
        <w:numPr>
          <w:ilvl w:val="0"/>
          <w:numId w:val="23"/>
        </w:numPr>
      </w:pPr>
      <w:r>
        <w:t>The result is the p</w:t>
      </w:r>
      <w:r w:rsidRPr="0023033C">
        <w:t xml:space="preserve">ercentage of </w:t>
      </w:r>
      <w:r>
        <w:t>mediations held that resulted in mediation agreements.</w:t>
      </w:r>
    </w:p>
    <w:bookmarkEnd w:id="0"/>
    <w:p w14:paraId="3B19E680" w14:textId="7514DC93" w:rsidR="008037B3" w:rsidRDefault="008037B3" w:rsidP="008037B3">
      <w:pPr>
        <w:pStyle w:val="Heading2"/>
      </w:pPr>
      <w:r>
        <w:t>What are the data considerations?</w:t>
      </w:r>
    </w:p>
    <w:p w14:paraId="636CE813" w14:textId="5585EC03" w:rsidR="00BF1500" w:rsidRDefault="00BF1500" w:rsidP="00BF1500">
      <w:pPr>
        <w:pStyle w:val="Heading3"/>
      </w:pPr>
      <w:r w:rsidRPr="00152CA6">
        <w:t>Data Source</w:t>
      </w:r>
    </w:p>
    <w:p w14:paraId="20D41D25" w14:textId="08C6EF2E" w:rsidR="00BF1500" w:rsidRDefault="00BF1500" w:rsidP="00BF1500">
      <w:pPr>
        <w:rPr>
          <w:b/>
          <w:bCs/>
        </w:rPr>
      </w:pPr>
      <w:r>
        <w:t xml:space="preserve">Data collected under section 618 of the </w:t>
      </w:r>
      <w:r w:rsidR="00C16EB3" w:rsidRPr="00C16EB3">
        <w:t>Individuals with Disabilities Education Act</w:t>
      </w:r>
      <w:r>
        <w:t xml:space="preserve"> (IDEA Part B Dispute Resolution Survey in the </w:t>
      </w:r>
      <w:proofErr w:type="spellStart"/>
      <w:r>
        <w:t>ED</w:t>
      </w:r>
      <w:r>
        <w:rPr>
          <w:i/>
          <w:iCs/>
        </w:rPr>
        <w:t>Facts</w:t>
      </w:r>
      <w:proofErr w:type="spellEnd"/>
      <w:r>
        <w:t xml:space="preserve"> Metadata and Process System (EMAPS)).</w:t>
      </w:r>
    </w:p>
    <w:p w14:paraId="046EDCFA" w14:textId="3E6ED279" w:rsidR="00BF1500" w:rsidRPr="008037B3" w:rsidRDefault="00BF1500" w:rsidP="00BF1500">
      <w:pPr>
        <w:pStyle w:val="Heading3"/>
      </w:pPr>
      <w:r w:rsidRPr="008037B3">
        <w:t xml:space="preserve">How has this </w:t>
      </w:r>
      <w:r w:rsidR="006F146C">
        <w:t>I</w:t>
      </w:r>
      <w:r w:rsidRPr="008037B3">
        <w:t xml:space="preserve">ndicator </w:t>
      </w:r>
      <w:r w:rsidR="006F146C">
        <w:t>C</w:t>
      </w:r>
      <w:r w:rsidRPr="008037B3">
        <w:t>hanged?</w:t>
      </w:r>
    </w:p>
    <w:p w14:paraId="3C5EEDC3" w14:textId="2C200FB4" w:rsidR="00BF1500" w:rsidRPr="00BF1500" w:rsidRDefault="00BF1500" w:rsidP="00BF1500">
      <w:r>
        <w:t>Indicator 16 has not changed.</w:t>
      </w:r>
    </w:p>
    <w:p w14:paraId="401C990D" w14:textId="2FA419ED" w:rsidR="00881836" w:rsidRDefault="00881836" w:rsidP="00B25028">
      <w:pPr>
        <w:pStyle w:val="Heading2"/>
      </w:pPr>
      <w:r>
        <w:t>How has Ohio performed over time?</w:t>
      </w:r>
    </w:p>
    <w:p w14:paraId="3E244252" w14:textId="5AA2B824" w:rsidR="00FC3ECB" w:rsidRDefault="00FC3ECB" w:rsidP="007D7493">
      <w:pPr>
        <w:keepNext/>
        <w:jc w:val="center"/>
      </w:pPr>
      <w:r>
        <w:rPr>
          <w:noProof/>
        </w:rPr>
        <w:drawing>
          <wp:inline distT="0" distB="0" distL="0" distR="0" wp14:anchorId="2F7F1532" wp14:editId="3E89BFB6">
            <wp:extent cx="6400800" cy="2743200"/>
            <wp:effectExtent l="0" t="0" r="0" b="0"/>
            <wp:docPr id="2" name="Chart 2" descr="Line graph showing Ohio's percentage of mediations that resulted in mediation agreements.">
              <a:extLst xmlns:a="http://schemas.openxmlformats.org/drawingml/2006/main">
                <a:ext uri="{FF2B5EF4-FFF2-40B4-BE49-F238E27FC236}">
                  <a16:creationId xmlns:a16="http://schemas.microsoft.com/office/drawing/2014/main" id="{C1B1524E-2F14-4D39-AFA6-DAA732A65F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835E2E" w14:textId="5D771E31" w:rsidR="00B25028" w:rsidRDefault="007D7493" w:rsidP="009A3816">
      <w:pPr>
        <w:pStyle w:val="Caption"/>
      </w:pPr>
      <w:r>
        <w:t xml:space="preserve">Figure </w:t>
      </w:r>
      <w:r>
        <w:fldChar w:fldCharType="begin"/>
      </w:r>
      <w:r>
        <w:instrText>SEQ Figure \* ARABIC</w:instrText>
      </w:r>
      <w:r>
        <w:fldChar w:fldCharType="separate"/>
      </w:r>
      <w:r w:rsidR="005E1A7E">
        <w:rPr>
          <w:noProof/>
        </w:rPr>
        <w:t>1</w:t>
      </w:r>
      <w:r>
        <w:fldChar w:fldCharType="end"/>
      </w:r>
      <w:r>
        <w:t xml:space="preserve">. Ohio’s percentage of mediations </w:t>
      </w:r>
      <w:r w:rsidR="009A3816">
        <w:t>held that resulted in mediation agreements has increased steadily from 72.97% in 2014-</w:t>
      </w:r>
      <w:r w:rsidR="00C16EB3">
        <w:t>20</w:t>
      </w:r>
      <w:r w:rsidR="009A3816">
        <w:t>15 to 80% in 2019-</w:t>
      </w:r>
      <w:r w:rsidR="00C16EB3">
        <w:t>20</w:t>
      </w:r>
      <w:r w:rsidR="009A3816">
        <w:t>20, with a peak at 81.76% in 2018-</w:t>
      </w:r>
      <w:r w:rsidR="00C16EB3">
        <w:t>20</w:t>
      </w:r>
      <w:r w:rsidR="009A3816">
        <w:t>19.</w:t>
      </w:r>
    </w:p>
    <w:tbl>
      <w:tblPr>
        <w:tblStyle w:val="PlainTable1"/>
        <w:tblW w:w="5000" w:type="pct"/>
        <w:tblLook w:val="04A0" w:firstRow="1" w:lastRow="0" w:firstColumn="1" w:lastColumn="0" w:noHBand="0" w:noVBand="1"/>
        <w:tblCaption w:val="Ohio's Mediation Agreements"/>
        <w:tblDescription w:val="Number of mediation agreements, number of mediations held, percentage, and change in percentage from 2014-15 to 2019-20."/>
      </w:tblPr>
      <w:tblGrid>
        <w:gridCol w:w="4144"/>
        <w:gridCol w:w="1108"/>
        <w:gridCol w:w="1108"/>
        <w:gridCol w:w="1108"/>
        <w:gridCol w:w="1108"/>
        <w:gridCol w:w="1107"/>
        <w:gridCol w:w="1107"/>
      </w:tblGrid>
      <w:tr w:rsidR="0000707C" w:rsidRPr="0000707C" w14:paraId="679380A0" w14:textId="77777777" w:rsidTr="009A3816">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919" w:type="pct"/>
            <w:noWrap/>
            <w:hideMark/>
          </w:tcPr>
          <w:p w14:paraId="5C00E9BD" w14:textId="55DAAE56" w:rsidR="0000707C" w:rsidRPr="0000707C" w:rsidRDefault="009A3816" w:rsidP="0000707C">
            <w:pPr>
              <w:spacing w:after="0"/>
              <w:jc w:val="center"/>
              <w:rPr>
                <w:rFonts w:eastAsia="Times New Roman" w:cs="Arial"/>
                <w:b w:val="0"/>
                <w:bCs w:val="0"/>
                <w:color w:val="000000"/>
              </w:rPr>
            </w:pPr>
            <w:bookmarkStart w:id="1" w:name="Title_Ind_16_Mediation_Agreements"/>
            <w:bookmarkEnd w:id="1"/>
            <w:r>
              <w:rPr>
                <w:rFonts w:eastAsia="Times New Roman" w:cs="Arial"/>
                <w:color w:val="000000"/>
              </w:rPr>
              <w:t>Indicator 16: Mediation Agreements</w:t>
            </w:r>
          </w:p>
        </w:tc>
        <w:tc>
          <w:tcPr>
            <w:tcW w:w="513" w:type="pct"/>
            <w:hideMark/>
          </w:tcPr>
          <w:p w14:paraId="2A13F1F2" w14:textId="4E41EAED" w:rsidR="0000707C" w:rsidRPr="0042635D" w:rsidRDefault="00C16EB3" w:rsidP="0000707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42635D">
              <w:rPr>
                <w:rFonts w:eastAsia="Times New Roman" w:cs="Arial"/>
                <w:color w:val="000000"/>
              </w:rPr>
              <w:t>20</w:t>
            </w:r>
            <w:r w:rsidR="0000707C" w:rsidRPr="0042635D">
              <w:rPr>
                <w:rFonts w:eastAsia="Times New Roman" w:cs="Arial"/>
                <w:color w:val="000000"/>
              </w:rPr>
              <w:t>14-</w:t>
            </w:r>
            <w:r w:rsidRPr="0042635D">
              <w:rPr>
                <w:rFonts w:eastAsia="Times New Roman" w:cs="Arial"/>
                <w:color w:val="000000"/>
              </w:rPr>
              <w:t>20</w:t>
            </w:r>
            <w:r w:rsidR="0000707C" w:rsidRPr="0042635D">
              <w:rPr>
                <w:rFonts w:eastAsia="Times New Roman" w:cs="Arial"/>
                <w:color w:val="000000"/>
              </w:rPr>
              <w:t>15</w:t>
            </w:r>
          </w:p>
        </w:tc>
        <w:tc>
          <w:tcPr>
            <w:tcW w:w="513" w:type="pct"/>
            <w:hideMark/>
          </w:tcPr>
          <w:p w14:paraId="5A35952C" w14:textId="4CE51F66" w:rsidR="0000707C" w:rsidRPr="0042635D" w:rsidRDefault="00C16EB3" w:rsidP="0000707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42635D">
              <w:rPr>
                <w:rFonts w:eastAsia="Times New Roman" w:cs="Arial"/>
                <w:color w:val="000000"/>
              </w:rPr>
              <w:t>20</w:t>
            </w:r>
            <w:r w:rsidR="0000707C" w:rsidRPr="0042635D">
              <w:rPr>
                <w:rFonts w:eastAsia="Times New Roman" w:cs="Arial"/>
                <w:color w:val="000000"/>
              </w:rPr>
              <w:t>15-</w:t>
            </w:r>
            <w:r w:rsidRPr="0042635D">
              <w:rPr>
                <w:rFonts w:eastAsia="Times New Roman" w:cs="Arial"/>
                <w:color w:val="000000"/>
              </w:rPr>
              <w:t>20</w:t>
            </w:r>
            <w:r w:rsidR="0000707C" w:rsidRPr="0042635D">
              <w:rPr>
                <w:rFonts w:eastAsia="Times New Roman" w:cs="Arial"/>
                <w:color w:val="000000"/>
              </w:rPr>
              <w:t>16</w:t>
            </w:r>
          </w:p>
        </w:tc>
        <w:tc>
          <w:tcPr>
            <w:tcW w:w="513" w:type="pct"/>
            <w:hideMark/>
          </w:tcPr>
          <w:p w14:paraId="54A8A508" w14:textId="7385B554" w:rsidR="0000707C" w:rsidRPr="0042635D" w:rsidRDefault="00C16EB3" w:rsidP="0000707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42635D">
              <w:rPr>
                <w:rFonts w:eastAsia="Times New Roman" w:cs="Arial"/>
                <w:color w:val="000000"/>
              </w:rPr>
              <w:t>20</w:t>
            </w:r>
            <w:r w:rsidR="0000707C" w:rsidRPr="0042635D">
              <w:rPr>
                <w:rFonts w:eastAsia="Times New Roman" w:cs="Arial"/>
                <w:color w:val="000000"/>
              </w:rPr>
              <w:t>16-</w:t>
            </w:r>
            <w:r w:rsidRPr="0042635D">
              <w:rPr>
                <w:rFonts w:eastAsia="Times New Roman" w:cs="Arial"/>
                <w:color w:val="000000"/>
              </w:rPr>
              <w:t>20</w:t>
            </w:r>
            <w:r w:rsidR="0000707C" w:rsidRPr="0042635D">
              <w:rPr>
                <w:rFonts w:eastAsia="Times New Roman" w:cs="Arial"/>
                <w:color w:val="000000"/>
              </w:rPr>
              <w:t>17</w:t>
            </w:r>
          </w:p>
        </w:tc>
        <w:tc>
          <w:tcPr>
            <w:tcW w:w="513" w:type="pct"/>
            <w:hideMark/>
          </w:tcPr>
          <w:p w14:paraId="64CFFAE5" w14:textId="1E39331D" w:rsidR="0000707C" w:rsidRPr="0042635D" w:rsidRDefault="00C16EB3" w:rsidP="0000707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42635D">
              <w:rPr>
                <w:rFonts w:eastAsia="Times New Roman" w:cs="Arial"/>
                <w:color w:val="000000"/>
              </w:rPr>
              <w:t>20</w:t>
            </w:r>
            <w:r w:rsidR="0000707C" w:rsidRPr="0042635D">
              <w:rPr>
                <w:rFonts w:eastAsia="Times New Roman" w:cs="Arial"/>
                <w:color w:val="000000"/>
              </w:rPr>
              <w:t>17-</w:t>
            </w:r>
            <w:r w:rsidRPr="0042635D">
              <w:rPr>
                <w:rFonts w:eastAsia="Times New Roman" w:cs="Arial"/>
                <w:color w:val="000000"/>
              </w:rPr>
              <w:t>20</w:t>
            </w:r>
            <w:r w:rsidR="0000707C" w:rsidRPr="0042635D">
              <w:rPr>
                <w:rFonts w:eastAsia="Times New Roman" w:cs="Arial"/>
                <w:color w:val="000000"/>
              </w:rPr>
              <w:t>18</w:t>
            </w:r>
          </w:p>
        </w:tc>
        <w:tc>
          <w:tcPr>
            <w:tcW w:w="513" w:type="pct"/>
            <w:hideMark/>
          </w:tcPr>
          <w:p w14:paraId="19D91EFA" w14:textId="209607D3" w:rsidR="0000707C" w:rsidRPr="0042635D" w:rsidRDefault="00C16EB3" w:rsidP="0000707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42635D">
              <w:rPr>
                <w:rFonts w:eastAsia="Times New Roman" w:cs="Arial"/>
                <w:color w:val="000000"/>
              </w:rPr>
              <w:t>20</w:t>
            </w:r>
            <w:r w:rsidR="0000707C" w:rsidRPr="0042635D">
              <w:rPr>
                <w:rFonts w:eastAsia="Times New Roman" w:cs="Arial"/>
                <w:color w:val="000000"/>
              </w:rPr>
              <w:t>18-</w:t>
            </w:r>
            <w:r w:rsidRPr="0042635D">
              <w:rPr>
                <w:rFonts w:eastAsia="Times New Roman" w:cs="Arial"/>
                <w:color w:val="000000"/>
              </w:rPr>
              <w:t>20</w:t>
            </w:r>
            <w:r w:rsidR="0000707C" w:rsidRPr="0042635D">
              <w:rPr>
                <w:rFonts w:eastAsia="Times New Roman" w:cs="Arial"/>
                <w:color w:val="000000"/>
              </w:rPr>
              <w:t>19</w:t>
            </w:r>
          </w:p>
        </w:tc>
        <w:tc>
          <w:tcPr>
            <w:tcW w:w="513" w:type="pct"/>
            <w:hideMark/>
          </w:tcPr>
          <w:p w14:paraId="398612FF" w14:textId="568B4106" w:rsidR="0000707C" w:rsidRPr="0042635D" w:rsidRDefault="00C16EB3" w:rsidP="0000707C">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color w:val="000000"/>
              </w:rPr>
            </w:pPr>
            <w:r w:rsidRPr="0042635D">
              <w:rPr>
                <w:rFonts w:eastAsia="Times New Roman" w:cs="Arial"/>
                <w:color w:val="000000"/>
              </w:rPr>
              <w:t>20</w:t>
            </w:r>
            <w:r w:rsidR="0000707C" w:rsidRPr="0042635D">
              <w:rPr>
                <w:rFonts w:eastAsia="Times New Roman" w:cs="Arial"/>
                <w:color w:val="000000"/>
              </w:rPr>
              <w:t>19-</w:t>
            </w:r>
            <w:r w:rsidRPr="0042635D">
              <w:rPr>
                <w:rFonts w:eastAsia="Times New Roman" w:cs="Arial"/>
                <w:color w:val="000000"/>
              </w:rPr>
              <w:t>20</w:t>
            </w:r>
            <w:r w:rsidR="0000707C" w:rsidRPr="0042635D">
              <w:rPr>
                <w:rFonts w:eastAsia="Times New Roman" w:cs="Arial"/>
                <w:color w:val="000000"/>
              </w:rPr>
              <w:t>20</w:t>
            </w:r>
          </w:p>
        </w:tc>
      </w:tr>
      <w:tr w:rsidR="0000707C" w:rsidRPr="0000707C" w14:paraId="416E2AE6" w14:textId="77777777" w:rsidTr="00D01C00">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919" w:type="pct"/>
            <w:noWrap/>
            <w:hideMark/>
          </w:tcPr>
          <w:p w14:paraId="20BA589D" w14:textId="3B35969C" w:rsidR="0000707C" w:rsidRPr="009A3816" w:rsidRDefault="0000707C" w:rsidP="0000707C">
            <w:pPr>
              <w:spacing w:after="0"/>
              <w:rPr>
                <w:rFonts w:eastAsia="Times New Roman" w:cs="Arial"/>
                <w:b w:val="0"/>
                <w:bCs w:val="0"/>
                <w:color w:val="000000"/>
              </w:rPr>
            </w:pPr>
            <w:r w:rsidRPr="009A3816">
              <w:rPr>
                <w:rFonts w:eastAsia="Times New Roman" w:cs="Arial"/>
                <w:b w:val="0"/>
                <w:bCs w:val="0"/>
                <w:color w:val="000000"/>
              </w:rPr>
              <w:t xml:space="preserve">Mediation </w:t>
            </w:r>
            <w:r w:rsidR="00C16EB3">
              <w:rPr>
                <w:rFonts w:eastAsia="Times New Roman" w:cs="Arial"/>
                <w:b w:val="0"/>
                <w:bCs w:val="0"/>
                <w:color w:val="000000"/>
              </w:rPr>
              <w:t>a</w:t>
            </w:r>
            <w:r w:rsidRPr="009A3816">
              <w:rPr>
                <w:rFonts w:eastAsia="Times New Roman" w:cs="Arial"/>
                <w:b w:val="0"/>
                <w:bCs w:val="0"/>
                <w:color w:val="000000"/>
              </w:rPr>
              <w:t>greements</w:t>
            </w:r>
          </w:p>
        </w:tc>
        <w:tc>
          <w:tcPr>
            <w:tcW w:w="513" w:type="pct"/>
            <w:vAlign w:val="center"/>
            <w:hideMark/>
          </w:tcPr>
          <w:p w14:paraId="27E63463" w14:textId="77777777" w:rsidR="0000707C" w:rsidRPr="0000707C" w:rsidRDefault="0000707C" w:rsidP="00D01C0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07C">
              <w:rPr>
                <w:rFonts w:eastAsia="Times New Roman" w:cs="Arial"/>
                <w:color w:val="000000"/>
              </w:rPr>
              <w:t>108</w:t>
            </w:r>
          </w:p>
        </w:tc>
        <w:tc>
          <w:tcPr>
            <w:tcW w:w="513" w:type="pct"/>
            <w:vAlign w:val="center"/>
            <w:hideMark/>
          </w:tcPr>
          <w:p w14:paraId="45747A07" w14:textId="77777777" w:rsidR="0000707C" w:rsidRPr="0000707C" w:rsidRDefault="0000707C" w:rsidP="00D01C0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07C">
              <w:rPr>
                <w:rFonts w:eastAsia="Times New Roman" w:cs="Arial"/>
                <w:color w:val="000000"/>
              </w:rPr>
              <w:t>113</w:t>
            </w:r>
          </w:p>
        </w:tc>
        <w:tc>
          <w:tcPr>
            <w:tcW w:w="513" w:type="pct"/>
            <w:vAlign w:val="center"/>
            <w:hideMark/>
          </w:tcPr>
          <w:p w14:paraId="207A4400" w14:textId="77777777" w:rsidR="0000707C" w:rsidRPr="0000707C" w:rsidRDefault="0000707C" w:rsidP="00D01C0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07C">
              <w:rPr>
                <w:rFonts w:eastAsia="Times New Roman" w:cs="Arial"/>
                <w:color w:val="000000"/>
              </w:rPr>
              <w:t>116</w:t>
            </w:r>
          </w:p>
        </w:tc>
        <w:tc>
          <w:tcPr>
            <w:tcW w:w="513" w:type="pct"/>
            <w:vAlign w:val="center"/>
            <w:hideMark/>
          </w:tcPr>
          <w:p w14:paraId="0D8F653B" w14:textId="77777777" w:rsidR="0000707C" w:rsidRPr="0000707C" w:rsidRDefault="0000707C" w:rsidP="00D01C0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07C">
              <w:rPr>
                <w:rFonts w:eastAsia="Times New Roman" w:cs="Arial"/>
                <w:color w:val="000000"/>
              </w:rPr>
              <w:t>144</w:t>
            </w:r>
          </w:p>
        </w:tc>
        <w:tc>
          <w:tcPr>
            <w:tcW w:w="513" w:type="pct"/>
            <w:vAlign w:val="center"/>
            <w:hideMark/>
          </w:tcPr>
          <w:p w14:paraId="512B48DF" w14:textId="77777777" w:rsidR="0000707C" w:rsidRPr="0000707C" w:rsidRDefault="0000707C" w:rsidP="00D01C0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07C">
              <w:rPr>
                <w:rFonts w:eastAsia="Times New Roman" w:cs="Arial"/>
                <w:color w:val="000000"/>
              </w:rPr>
              <w:t>130</w:t>
            </w:r>
          </w:p>
        </w:tc>
        <w:tc>
          <w:tcPr>
            <w:tcW w:w="513" w:type="pct"/>
            <w:vAlign w:val="center"/>
            <w:hideMark/>
          </w:tcPr>
          <w:p w14:paraId="049774F2" w14:textId="77777777" w:rsidR="0000707C" w:rsidRPr="0000707C" w:rsidRDefault="0000707C" w:rsidP="00D01C0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07C">
              <w:rPr>
                <w:rFonts w:eastAsia="Times New Roman" w:cs="Arial"/>
                <w:color w:val="000000"/>
              </w:rPr>
              <w:t>76</w:t>
            </w:r>
          </w:p>
        </w:tc>
      </w:tr>
      <w:tr w:rsidR="0000707C" w:rsidRPr="0000707C" w14:paraId="50482E8A" w14:textId="77777777" w:rsidTr="00D01C00">
        <w:trPr>
          <w:cantSplit/>
          <w:trHeight w:val="432"/>
        </w:trPr>
        <w:tc>
          <w:tcPr>
            <w:cnfStyle w:val="001000000000" w:firstRow="0" w:lastRow="0" w:firstColumn="1" w:lastColumn="0" w:oddVBand="0" w:evenVBand="0" w:oddHBand="0" w:evenHBand="0" w:firstRowFirstColumn="0" w:firstRowLastColumn="0" w:lastRowFirstColumn="0" w:lastRowLastColumn="0"/>
            <w:tcW w:w="1919" w:type="pct"/>
            <w:noWrap/>
            <w:hideMark/>
          </w:tcPr>
          <w:p w14:paraId="3A70A23B" w14:textId="0C1D994D" w:rsidR="0000707C" w:rsidRPr="009A3816" w:rsidRDefault="0000707C" w:rsidP="0000707C">
            <w:pPr>
              <w:spacing w:after="0"/>
              <w:rPr>
                <w:rFonts w:eastAsia="Times New Roman" w:cs="Arial"/>
                <w:b w:val="0"/>
                <w:bCs w:val="0"/>
                <w:color w:val="000000"/>
              </w:rPr>
            </w:pPr>
            <w:r w:rsidRPr="009A3816">
              <w:rPr>
                <w:rFonts w:eastAsia="Times New Roman" w:cs="Arial"/>
                <w:b w:val="0"/>
                <w:bCs w:val="0"/>
                <w:color w:val="000000"/>
              </w:rPr>
              <w:t xml:space="preserve">Mediations </w:t>
            </w:r>
            <w:r w:rsidR="00540E98">
              <w:rPr>
                <w:rFonts w:eastAsia="Times New Roman" w:cs="Arial"/>
                <w:b w:val="0"/>
                <w:bCs w:val="0"/>
                <w:color w:val="000000"/>
              </w:rPr>
              <w:t>h</w:t>
            </w:r>
            <w:r w:rsidRPr="009A3816">
              <w:rPr>
                <w:rFonts w:eastAsia="Times New Roman" w:cs="Arial"/>
                <w:b w:val="0"/>
                <w:bCs w:val="0"/>
                <w:color w:val="000000"/>
              </w:rPr>
              <w:t>eld</w:t>
            </w:r>
          </w:p>
        </w:tc>
        <w:tc>
          <w:tcPr>
            <w:tcW w:w="513" w:type="pct"/>
            <w:vAlign w:val="center"/>
            <w:hideMark/>
          </w:tcPr>
          <w:p w14:paraId="0E0C81C3" w14:textId="77777777" w:rsidR="0000707C" w:rsidRPr="0000707C" w:rsidRDefault="0000707C" w:rsidP="00D01C0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0707C">
              <w:rPr>
                <w:rFonts w:eastAsia="Times New Roman" w:cs="Arial"/>
                <w:color w:val="000000"/>
              </w:rPr>
              <w:t>148</w:t>
            </w:r>
          </w:p>
        </w:tc>
        <w:tc>
          <w:tcPr>
            <w:tcW w:w="513" w:type="pct"/>
            <w:vAlign w:val="center"/>
            <w:hideMark/>
          </w:tcPr>
          <w:p w14:paraId="10DABE87" w14:textId="77777777" w:rsidR="0000707C" w:rsidRPr="0000707C" w:rsidRDefault="0000707C" w:rsidP="00D01C0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0707C">
              <w:rPr>
                <w:rFonts w:eastAsia="Times New Roman" w:cs="Arial"/>
                <w:color w:val="000000"/>
              </w:rPr>
              <w:t>149</w:t>
            </w:r>
          </w:p>
        </w:tc>
        <w:tc>
          <w:tcPr>
            <w:tcW w:w="513" w:type="pct"/>
            <w:vAlign w:val="center"/>
            <w:hideMark/>
          </w:tcPr>
          <w:p w14:paraId="32CC0CB9" w14:textId="77777777" w:rsidR="0000707C" w:rsidRPr="0000707C" w:rsidRDefault="0000707C" w:rsidP="00D01C0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0707C">
              <w:rPr>
                <w:rFonts w:eastAsia="Times New Roman" w:cs="Arial"/>
                <w:color w:val="000000"/>
              </w:rPr>
              <w:t>152</w:t>
            </w:r>
          </w:p>
        </w:tc>
        <w:tc>
          <w:tcPr>
            <w:tcW w:w="513" w:type="pct"/>
            <w:vAlign w:val="center"/>
            <w:hideMark/>
          </w:tcPr>
          <w:p w14:paraId="5910DA37" w14:textId="77777777" w:rsidR="0000707C" w:rsidRPr="0000707C" w:rsidRDefault="0000707C" w:rsidP="00D01C0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0707C">
              <w:rPr>
                <w:rFonts w:eastAsia="Times New Roman" w:cs="Arial"/>
                <w:color w:val="000000"/>
              </w:rPr>
              <w:t>181</w:t>
            </w:r>
          </w:p>
        </w:tc>
        <w:tc>
          <w:tcPr>
            <w:tcW w:w="513" w:type="pct"/>
            <w:vAlign w:val="center"/>
            <w:hideMark/>
          </w:tcPr>
          <w:p w14:paraId="769054FB" w14:textId="77777777" w:rsidR="0000707C" w:rsidRPr="0000707C" w:rsidRDefault="0000707C" w:rsidP="00D01C0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0707C">
              <w:rPr>
                <w:rFonts w:eastAsia="Times New Roman" w:cs="Arial"/>
                <w:color w:val="000000"/>
              </w:rPr>
              <w:t>159</w:t>
            </w:r>
          </w:p>
        </w:tc>
        <w:tc>
          <w:tcPr>
            <w:tcW w:w="513" w:type="pct"/>
            <w:vAlign w:val="center"/>
            <w:hideMark/>
          </w:tcPr>
          <w:p w14:paraId="1A191BB2" w14:textId="77777777" w:rsidR="0000707C" w:rsidRPr="0000707C" w:rsidRDefault="0000707C" w:rsidP="00D01C0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0707C">
              <w:rPr>
                <w:rFonts w:eastAsia="Times New Roman" w:cs="Arial"/>
                <w:color w:val="000000"/>
              </w:rPr>
              <w:t>95</w:t>
            </w:r>
          </w:p>
        </w:tc>
      </w:tr>
      <w:tr w:rsidR="0000707C" w:rsidRPr="0000707C" w14:paraId="1839DE98" w14:textId="77777777" w:rsidTr="00D01C00">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919" w:type="pct"/>
            <w:noWrap/>
            <w:hideMark/>
          </w:tcPr>
          <w:p w14:paraId="7C2E4AC8" w14:textId="77777777" w:rsidR="0000707C" w:rsidRPr="009A3816" w:rsidRDefault="0000707C" w:rsidP="0000707C">
            <w:pPr>
              <w:spacing w:after="0"/>
              <w:rPr>
                <w:rFonts w:eastAsia="Times New Roman" w:cs="Arial"/>
                <w:b w:val="0"/>
                <w:bCs w:val="0"/>
                <w:color w:val="000000"/>
              </w:rPr>
            </w:pPr>
            <w:r w:rsidRPr="009A3816">
              <w:rPr>
                <w:rFonts w:eastAsia="Times New Roman" w:cs="Arial"/>
                <w:b w:val="0"/>
                <w:bCs w:val="0"/>
                <w:color w:val="000000"/>
              </w:rPr>
              <w:t>Percentage</w:t>
            </w:r>
          </w:p>
        </w:tc>
        <w:tc>
          <w:tcPr>
            <w:tcW w:w="513" w:type="pct"/>
            <w:noWrap/>
            <w:vAlign w:val="center"/>
            <w:hideMark/>
          </w:tcPr>
          <w:p w14:paraId="16F7D504" w14:textId="77777777" w:rsidR="0000707C" w:rsidRPr="0000707C" w:rsidRDefault="0000707C" w:rsidP="00D01C0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07C">
              <w:rPr>
                <w:rFonts w:eastAsia="Times New Roman" w:cs="Arial"/>
                <w:color w:val="000000"/>
              </w:rPr>
              <w:t>72.97%</w:t>
            </w:r>
          </w:p>
        </w:tc>
        <w:tc>
          <w:tcPr>
            <w:tcW w:w="513" w:type="pct"/>
            <w:noWrap/>
            <w:vAlign w:val="center"/>
            <w:hideMark/>
          </w:tcPr>
          <w:p w14:paraId="3CB3C5C2" w14:textId="77777777" w:rsidR="0000707C" w:rsidRPr="0000707C" w:rsidRDefault="0000707C" w:rsidP="00D01C0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07C">
              <w:rPr>
                <w:rFonts w:eastAsia="Times New Roman" w:cs="Arial"/>
                <w:color w:val="000000"/>
              </w:rPr>
              <w:t>75.84%</w:t>
            </w:r>
          </w:p>
        </w:tc>
        <w:tc>
          <w:tcPr>
            <w:tcW w:w="513" w:type="pct"/>
            <w:noWrap/>
            <w:vAlign w:val="center"/>
            <w:hideMark/>
          </w:tcPr>
          <w:p w14:paraId="57B66C02" w14:textId="77777777" w:rsidR="0000707C" w:rsidRPr="0000707C" w:rsidRDefault="0000707C" w:rsidP="00D01C0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07C">
              <w:rPr>
                <w:rFonts w:eastAsia="Times New Roman" w:cs="Arial"/>
                <w:color w:val="000000"/>
              </w:rPr>
              <w:t>76.32%</w:t>
            </w:r>
          </w:p>
        </w:tc>
        <w:tc>
          <w:tcPr>
            <w:tcW w:w="513" w:type="pct"/>
            <w:noWrap/>
            <w:vAlign w:val="center"/>
            <w:hideMark/>
          </w:tcPr>
          <w:p w14:paraId="0C5A5BFA" w14:textId="77777777" w:rsidR="0000707C" w:rsidRPr="0000707C" w:rsidRDefault="0000707C" w:rsidP="00D01C0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07C">
              <w:rPr>
                <w:rFonts w:eastAsia="Times New Roman" w:cs="Arial"/>
                <w:color w:val="000000"/>
              </w:rPr>
              <w:t>79.56%</w:t>
            </w:r>
          </w:p>
        </w:tc>
        <w:tc>
          <w:tcPr>
            <w:tcW w:w="513" w:type="pct"/>
            <w:noWrap/>
            <w:vAlign w:val="center"/>
            <w:hideMark/>
          </w:tcPr>
          <w:p w14:paraId="018731BC" w14:textId="77777777" w:rsidR="0000707C" w:rsidRPr="0000707C" w:rsidRDefault="0000707C" w:rsidP="00D01C0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07C">
              <w:rPr>
                <w:rFonts w:eastAsia="Times New Roman" w:cs="Arial"/>
                <w:color w:val="000000"/>
              </w:rPr>
              <w:t>81.76%</w:t>
            </w:r>
          </w:p>
        </w:tc>
        <w:tc>
          <w:tcPr>
            <w:tcW w:w="513" w:type="pct"/>
            <w:noWrap/>
            <w:vAlign w:val="center"/>
            <w:hideMark/>
          </w:tcPr>
          <w:p w14:paraId="3A8B9758" w14:textId="77777777" w:rsidR="0000707C" w:rsidRPr="0000707C" w:rsidRDefault="0000707C" w:rsidP="00D01C00">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Arial"/>
                <w:color w:val="000000"/>
              </w:rPr>
            </w:pPr>
            <w:r w:rsidRPr="0000707C">
              <w:rPr>
                <w:rFonts w:eastAsia="Times New Roman" w:cs="Arial"/>
                <w:color w:val="000000"/>
              </w:rPr>
              <w:t>80.00%</w:t>
            </w:r>
          </w:p>
        </w:tc>
      </w:tr>
      <w:tr w:rsidR="0000707C" w:rsidRPr="0000707C" w14:paraId="4D65D76B" w14:textId="77777777" w:rsidTr="00D01C00">
        <w:trPr>
          <w:cantSplit/>
          <w:trHeight w:val="432"/>
        </w:trPr>
        <w:tc>
          <w:tcPr>
            <w:cnfStyle w:val="001000000000" w:firstRow="0" w:lastRow="0" w:firstColumn="1" w:lastColumn="0" w:oddVBand="0" w:evenVBand="0" w:oddHBand="0" w:evenHBand="0" w:firstRowFirstColumn="0" w:firstRowLastColumn="0" w:lastRowFirstColumn="0" w:lastRowLastColumn="0"/>
            <w:tcW w:w="1919" w:type="pct"/>
            <w:noWrap/>
            <w:hideMark/>
          </w:tcPr>
          <w:p w14:paraId="7F1D2111" w14:textId="42C81D0C" w:rsidR="0000707C" w:rsidRPr="009A3816" w:rsidRDefault="0000707C" w:rsidP="0000707C">
            <w:pPr>
              <w:spacing w:after="0"/>
              <w:rPr>
                <w:rFonts w:eastAsia="Times New Roman" w:cs="Arial"/>
                <w:b w:val="0"/>
                <w:bCs w:val="0"/>
                <w:color w:val="000000"/>
              </w:rPr>
            </w:pPr>
            <w:r w:rsidRPr="009A3816">
              <w:rPr>
                <w:rFonts w:eastAsia="Times New Roman" w:cs="Arial"/>
                <w:b w:val="0"/>
                <w:bCs w:val="0"/>
                <w:color w:val="000000"/>
              </w:rPr>
              <w:t xml:space="preserve">Change in </w:t>
            </w:r>
            <w:r w:rsidR="00FC46B7">
              <w:rPr>
                <w:rFonts w:eastAsia="Times New Roman" w:cs="Arial"/>
                <w:b w:val="0"/>
                <w:bCs w:val="0"/>
                <w:color w:val="000000"/>
              </w:rPr>
              <w:t>p</w:t>
            </w:r>
            <w:r w:rsidRPr="009A3816">
              <w:rPr>
                <w:rFonts w:eastAsia="Times New Roman" w:cs="Arial"/>
                <w:b w:val="0"/>
                <w:bCs w:val="0"/>
                <w:color w:val="000000"/>
              </w:rPr>
              <w:t>ercentage</w:t>
            </w:r>
          </w:p>
        </w:tc>
        <w:tc>
          <w:tcPr>
            <w:tcW w:w="513" w:type="pct"/>
            <w:vAlign w:val="center"/>
            <w:hideMark/>
          </w:tcPr>
          <w:p w14:paraId="1B8A7DB1" w14:textId="60117F3E" w:rsidR="0000707C" w:rsidRPr="00E06FF2" w:rsidRDefault="00E06FF2" w:rsidP="00D01C0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E06FF2">
              <w:rPr>
                <w:rFonts w:eastAsia="Times New Roman" w:cs="Arial"/>
                <w:color w:val="000000"/>
              </w:rPr>
              <w:t>n/a</w:t>
            </w:r>
          </w:p>
        </w:tc>
        <w:tc>
          <w:tcPr>
            <w:tcW w:w="513" w:type="pct"/>
            <w:vAlign w:val="center"/>
            <w:hideMark/>
          </w:tcPr>
          <w:p w14:paraId="2B04B429" w14:textId="46DC617A" w:rsidR="0000707C" w:rsidRPr="0000707C" w:rsidRDefault="0000707C" w:rsidP="00D01C0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00707C">
              <w:rPr>
                <w:rFonts w:eastAsia="Times New Roman" w:cs="Arial"/>
                <w:color w:val="000000"/>
              </w:rPr>
              <w:t>2.87%</w:t>
            </w:r>
          </w:p>
        </w:tc>
        <w:tc>
          <w:tcPr>
            <w:tcW w:w="513" w:type="pct"/>
            <w:vAlign w:val="center"/>
            <w:hideMark/>
          </w:tcPr>
          <w:p w14:paraId="6E805FF5" w14:textId="0F946EAC" w:rsidR="0000707C" w:rsidRPr="0000707C" w:rsidRDefault="0000707C" w:rsidP="00D01C0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00707C">
              <w:rPr>
                <w:rFonts w:eastAsia="Times New Roman" w:cs="Arial"/>
                <w:color w:val="000000"/>
              </w:rPr>
              <w:t>0.48%</w:t>
            </w:r>
          </w:p>
        </w:tc>
        <w:tc>
          <w:tcPr>
            <w:tcW w:w="513" w:type="pct"/>
            <w:vAlign w:val="center"/>
            <w:hideMark/>
          </w:tcPr>
          <w:p w14:paraId="4DEE3CC1" w14:textId="4C667ECC" w:rsidR="0000707C" w:rsidRPr="0000707C" w:rsidRDefault="0000707C" w:rsidP="00D01C0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00707C">
              <w:rPr>
                <w:rFonts w:eastAsia="Times New Roman" w:cs="Arial"/>
                <w:color w:val="000000"/>
              </w:rPr>
              <w:t>3.24%</w:t>
            </w:r>
          </w:p>
        </w:tc>
        <w:tc>
          <w:tcPr>
            <w:tcW w:w="513" w:type="pct"/>
            <w:vAlign w:val="center"/>
            <w:hideMark/>
          </w:tcPr>
          <w:p w14:paraId="479D909A" w14:textId="131B2870" w:rsidR="0000707C" w:rsidRPr="0000707C" w:rsidRDefault="0000707C" w:rsidP="00D01C0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Pr>
                <w:rFonts w:eastAsia="Times New Roman" w:cs="Arial"/>
                <w:color w:val="000000"/>
              </w:rPr>
              <w:t>+</w:t>
            </w:r>
            <w:r w:rsidRPr="0000707C">
              <w:rPr>
                <w:rFonts w:eastAsia="Times New Roman" w:cs="Arial"/>
                <w:color w:val="000000"/>
              </w:rPr>
              <w:t>2.20%</w:t>
            </w:r>
          </w:p>
        </w:tc>
        <w:tc>
          <w:tcPr>
            <w:tcW w:w="513" w:type="pct"/>
            <w:vAlign w:val="center"/>
            <w:hideMark/>
          </w:tcPr>
          <w:p w14:paraId="02C151A5" w14:textId="77777777" w:rsidR="0000707C" w:rsidRPr="0000707C" w:rsidRDefault="0000707C" w:rsidP="00D01C00">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Arial"/>
                <w:color w:val="000000"/>
              </w:rPr>
            </w:pPr>
            <w:r w:rsidRPr="0000707C">
              <w:rPr>
                <w:rFonts w:eastAsia="Times New Roman" w:cs="Arial"/>
                <w:color w:val="000000"/>
              </w:rPr>
              <w:t>-1.76%</w:t>
            </w:r>
          </w:p>
        </w:tc>
      </w:tr>
    </w:tbl>
    <w:p w14:paraId="5EBE1736" w14:textId="1BFE57DD" w:rsidR="00881836" w:rsidRDefault="00881836" w:rsidP="00B25028">
      <w:pPr>
        <w:pStyle w:val="Heading2"/>
      </w:pPr>
      <w:r>
        <w:lastRenderedPageBreak/>
        <w:t>How has Ohio performed in relation to the targets?</w:t>
      </w:r>
    </w:p>
    <w:p w14:paraId="1757A0EC" w14:textId="2825A18E" w:rsidR="00667379" w:rsidRDefault="00667379" w:rsidP="00667379">
      <w:r>
        <w:t xml:space="preserve">The graphs below depict Ohio’s performance over time in relation to the state targets. </w:t>
      </w:r>
    </w:p>
    <w:p w14:paraId="4522382B" w14:textId="77777777" w:rsidR="00411746" w:rsidRDefault="00667379" w:rsidP="00DB4CA8">
      <w:pPr>
        <w:pStyle w:val="ListParagraph"/>
        <w:numPr>
          <w:ilvl w:val="0"/>
          <w:numId w:val="24"/>
        </w:numPr>
        <w:spacing w:after="60"/>
      </w:pPr>
      <w:r>
        <w:t xml:space="preserve">The bars in each graph indicate Ohio’s performance for each year. </w:t>
      </w:r>
      <w:r w:rsidR="00411746">
        <w:t>Red bars with horizontal stripes mean Ohio did not meet the target for that year. Green bars with vertical stripes mean Ohio met the target for that year.</w:t>
      </w:r>
    </w:p>
    <w:p w14:paraId="0775C2D2" w14:textId="4CD1961F" w:rsidR="00667379" w:rsidRDefault="00667379" w:rsidP="00DB4CA8">
      <w:pPr>
        <w:pStyle w:val="ListParagraph"/>
        <w:numPr>
          <w:ilvl w:val="0"/>
          <w:numId w:val="24"/>
        </w:numPr>
      </w:pPr>
      <w:r>
        <w:t>The dotted black line in each graph depicts the state target for each year</w:t>
      </w:r>
      <w:r w:rsidR="003D49A3">
        <w:t>.</w:t>
      </w:r>
    </w:p>
    <w:p w14:paraId="4BBFAEC1" w14:textId="65DFB9A9" w:rsidR="00667379" w:rsidRPr="00AF1DB9" w:rsidRDefault="00667379" w:rsidP="00DB4CA8">
      <w:pPr>
        <w:pStyle w:val="ListParagraph"/>
        <w:numPr>
          <w:ilvl w:val="0"/>
          <w:numId w:val="24"/>
        </w:numPr>
      </w:pPr>
      <w:r>
        <w:t xml:space="preserve">The table below each graph calculates the difference between the state target and Ohio’s performance. </w:t>
      </w:r>
    </w:p>
    <w:p w14:paraId="62A17AAD" w14:textId="50994C69" w:rsidR="00E02318" w:rsidRDefault="00E02318" w:rsidP="005E1A7E">
      <w:pPr>
        <w:keepNext/>
        <w:jc w:val="center"/>
      </w:pPr>
      <w:r>
        <w:rPr>
          <w:noProof/>
        </w:rPr>
        <w:drawing>
          <wp:inline distT="0" distB="0" distL="0" distR="0" wp14:anchorId="24153236" wp14:editId="63E590BC">
            <wp:extent cx="6400800" cy="2743200"/>
            <wp:effectExtent l="0" t="0" r="0" b="0"/>
            <wp:docPr id="1" name="Chart 1" descr="Combination graph showing percentage difference between the state target and Ohio's mediations held that resulted in mediation agreements.">
              <a:extLst xmlns:a="http://schemas.openxmlformats.org/drawingml/2006/main">
                <a:ext uri="{FF2B5EF4-FFF2-40B4-BE49-F238E27FC236}">
                  <a16:creationId xmlns:a16="http://schemas.microsoft.com/office/drawing/2014/main" id="{5F483C0E-8A34-4538-B2F5-B4DFB16986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5900E6" w14:textId="64827453" w:rsidR="00454762" w:rsidRDefault="005E1A7E" w:rsidP="00553EF2">
      <w:pPr>
        <w:pStyle w:val="Caption"/>
      </w:pPr>
      <w:r>
        <w:t xml:space="preserve">Figure </w:t>
      </w:r>
      <w:r>
        <w:fldChar w:fldCharType="begin"/>
      </w:r>
      <w:r>
        <w:instrText>SEQ Figure \* ARABIC</w:instrText>
      </w:r>
      <w:r>
        <w:fldChar w:fldCharType="separate"/>
      </w:r>
      <w:r>
        <w:rPr>
          <w:noProof/>
        </w:rPr>
        <w:t>2</w:t>
      </w:r>
      <w:r>
        <w:fldChar w:fldCharType="end"/>
      </w:r>
      <w:r>
        <w:t>. Ohio met the target for mediation agreements in the most recent five years, increasing steadily from 72.</w:t>
      </w:r>
      <w:r w:rsidR="00553EF2">
        <w:t>97% in 2014-</w:t>
      </w:r>
      <w:r w:rsidR="00540E98">
        <w:t>20</w:t>
      </w:r>
      <w:r w:rsidR="00553EF2">
        <w:t>15 to 80% in 2019-</w:t>
      </w:r>
      <w:r w:rsidR="00540E98">
        <w:t>20</w:t>
      </w:r>
      <w:r w:rsidR="00553EF2">
        <w:t>20, with a peak at 81.76% in 2018-</w:t>
      </w:r>
      <w:r w:rsidR="00540E98">
        <w:t>20</w:t>
      </w:r>
      <w:r w:rsidR="00553EF2">
        <w:t>19.</w:t>
      </w:r>
    </w:p>
    <w:p w14:paraId="5384F56C" w14:textId="0CDBB8BD" w:rsidR="00A7327E" w:rsidRDefault="00A7327E" w:rsidP="00A7327E">
      <w:pPr>
        <w:pStyle w:val="Caption"/>
        <w:keepNext/>
      </w:pPr>
      <w:r>
        <w:t xml:space="preserve">Table </w:t>
      </w:r>
      <w:r>
        <w:fldChar w:fldCharType="begin"/>
      </w:r>
      <w:r>
        <w:instrText>SEQ Table \* ARABIC</w:instrText>
      </w:r>
      <w:r>
        <w:fldChar w:fldCharType="separate"/>
      </w:r>
      <w:r>
        <w:rPr>
          <w:noProof/>
        </w:rPr>
        <w:t>1</w:t>
      </w:r>
      <w:r>
        <w:fldChar w:fldCharType="end"/>
      </w:r>
      <w:r w:rsidR="008872A7">
        <w:t>. Percentage difference between the state target and Ohio’s percentage of mediation agreements.</w:t>
      </w:r>
      <w:r w:rsidR="008872A7" w:rsidRPr="00B16C89">
        <w:t xml:space="preserve"> </w:t>
      </w:r>
      <w:r w:rsidR="008872A7">
        <w:t>The goal for indicator 16 is to be at or above the lower end of the target range. Positive difference numbers indicate the state was above the target for that year and met the target. Negative difference numbers indicate the state was below the target for that year and did not meet the target.</w:t>
      </w:r>
    </w:p>
    <w:tbl>
      <w:tblPr>
        <w:tblStyle w:val="PlainTable1"/>
        <w:tblW w:w="5000" w:type="pct"/>
        <w:tblLook w:val="04A0" w:firstRow="1" w:lastRow="0" w:firstColumn="1" w:lastColumn="0" w:noHBand="0" w:noVBand="1"/>
        <w:tblCaption w:val="Percentage Difference Between State Target &amp; Ohio's Performance"/>
        <w:tblDescription w:val="Percentage difference between the state target and Ohio’s percentage of mediation agreements. The goal for indicator 16 is to be at or above the lower end of the target range. Positive difference numbers indicate the state was above the target for that year and met the target. Negative difference numbers indicate the state was below the target for that year and did not meet the target."/>
      </w:tblPr>
      <w:tblGrid>
        <w:gridCol w:w="2515"/>
        <w:gridCol w:w="1380"/>
        <w:gridCol w:w="1379"/>
        <w:gridCol w:w="1379"/>
        <w:gridCol w:w="1379"/>
        <w:gridCol w:w="1379"/>
        <w:gridCol w:w="1379"/>
      </w:tblGrid>
      <w:tr w:rsidR="002972F5" w:rsidRPr="006D4413" w14:paraId="7FDE31AC" w14:textId="77777777" w:rsidTr="00D754C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65" w:type="pct"/>
          </w:tcPr>
          <w:p w14:paraId="73CB2E1A" w14:textId="77777777" w:rsidR="002972F5" w:rsidRPr="003A3621" w:rsidRDefault="002972F5" w:rsidP="00D754C8">
            <w:pPr>
              <w:spacing w:after="0"/>
              <w:contextualSpacing/>
              <w:jc w:val="center"/>
            </w:pPr>
            <w:bookmarkStart w:id="2" w:name="Title_Percentage_Difference_Mediation"/>
            <w:bookmarkEnd w:id="2"/>
            <w:r w:rsidRPr="003A3621">
              <w:t>Data Year</w:t>
            </w:r>
          </w:p>
        </w:tc>
        <w:tc>
          <w:tcPr>
            <w:tcW w:w="639" w:type="pct"/>
          </w:tcPr>
          <w:p w14:paraId="54B48F49" w14:textId="42FD442E" w:rsidR="002972F5" w:rsidRPr="006D4413" w:rsidRDefault="00540E98" w:rsidP="00D754C8">
            <w:pPr>
              <w:spacing w:after="0"/>
              <w:contextualSpacing/>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2972F5" w:rsidRPr="006D4413">
              <w:t>14-</w:t>
            </w:r>
            <w:r>
              <w:t>20</w:t>
            </w:r>
            <w:r w:rsidR="002972F5" w:rsidRPr="006D4413">
              <w:t>15</w:t>
            </w:r>
          </w:p>
        </w:tc>
        <w:tc>
          <w:tcPr>
            <w:tcW w:w="639" w:type="pct"/>
          </w:tcPr>
          <w:p w14:paraId="2DE9B677" w14:textId="1C43315F" w:rsidR="002972F5" w:rsidRPr="006D4413" w:rsidRDefault="00540E98" w:rsidP="00D754C8">
            <w:pPr>
              <w:spacing w:after="0"/>
              <w:contextualSpacing/>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2972F5" w:rsidRPr="006D4413">
              <w:t>15-</w:t>
            </w:r>
            <w:r>
              <w:t>20</w:t>
            </w:r>
            <w:r w:rsidR="002972F5" w:rsidRPr="006D4413">
              <w:t>16</w:t>
            </w:r>
          </w:p>
        </w:tc>
        <w:tc>
          <w:tcPr>
            <w:tcW w:w="639" w:type="pct"/>
          </w:tcPr>
          <w:p w14:paraId="7A09CFFD" w14:textId="771EC6CA" w:rsidR="002972F5" w:rsidRPr="006D4413" w:rsidRDefault="00540E98" w:rsidP="00D754C8">
            <w:pPr>
              <w:spacing w:after="0"/>
              <w:contextualSpacing/>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2972F5" w:rsidRPr="006D4413">
              <w:t>16-</w:t>
            </w:r>
            <w:r>
              <w:t>20</w:t>
            </w:r>
            <w:r w:rsidR="002972F5" w:rsidRPr="006D4413">
              <w:t>17</w:t>
            </w:r>
          </w:p>
        </w:tc>
        <w:tc>
          <w:tcPr>
            <w:tcW w:w="639" w:type="pct"/>
          </w:tcPr>
          <w:p w14:paraId="657D182A" w14:textId="391AD600" w:rsidR="002972F5" w:rsidRPr="006D4413" w:rsidRDefault="00540E98" w:rsidP="00D754C8">
            <w:pPr>
              <w:spacing w:after="0"/>
              <w:contextualSpacing/>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2972F5" w:rsidRPr="006D4413">
              <w:t>17-</w:t>
            </w:r>
            <w:r>
              <w:t>20</w:t>
            </w:r>
            <w:r w:rsidR="002972F5" w:rsidRPr="006D4413">
              <w:t>18</w:t>
            </w:r>
          </w:p>
        </w:tc>
        <w:tc>
          <w:tcPr>
            <w:tcW w:w="639" w:type="pct"/>
          </w:tcPr>
          <w:p w14:paraId="0B14FBD2" w14:textId="51243488" w:rsidR="002972F5" w:rsidRPr="006D4413" w:rsidRDefault="00540E98" w:rsidP="00D754C8">
            <w:pPr>
              <w:spacing w:after="0"/>
              <w:contextualSpacing/>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2972F5" w:rsidRPr="006D4413">
              <w:t>18-</w:t>
            </w:r>
            <w:r>
              <w:t>20</w:t>
            </w:r>
            <w:r w:rsidR="002972F5" w:rsidRPr="006D4413">
              <w:t>19</w:t>
            </w:r>
          </w:p>
        </w:tc>
        <w:tc>
          <w:tcPr>
            <w:tcW w:w="639" w:type="pct"/>
          </w:tcPr>
          <w:p w14:paraId="3F0D64BB" w14:textId="6B1E2717" w:rsidR="002972F5" w:rsidRPr="006D4413" w:rsidRDefault="00540E98" w:rsidP="00D754C8">
            <w:pPr>
              <w:spacing w:after="0"/>
              <w:contextualSpacing/>
              <w:jc w:val="center"/>
              <w:cnfStyle w:val="100000000000" w:firstRow="1" w:lastRow="0" w:firstColumn="0" w:lastColumn="0" w:oddVBand="0" w:evenVBand="0" w:oddHBand="0" w:evenHBand="0" w:firstRowFirstColumn="0" w:firstRowLastColumn="0" w:lastRowFirstColumn="0" w:lastRowLastColumn="0"/>
              <w:rPr>
                <w:b w:val="0"/>
                <w:bCs w:val="0"/>
              </w:rPr>
            </w:pPr>
            <w:r>
              <w:t>20</w:t>
            </w:r>
            <w:r w:rsidR="002972F5" w:rsidRPr="006D4413">
              <w:t>19-</w:t>
            </w:r>
            <w:r>
              <w:t>20</w:t>
            </w:r>
            <w:r w:rsidR="002972F5" w:rsidRPr="006D4413">
              <w:t>20</w:t>
            </w:r>
          </w:p>
        </w:tc>
      </w:tr>
      <w:tr w:rsidR="002972F5" w:rsidRPr="0075238A" w14:paraId="1A51A1DE" w14:textId="77777777" w:rsidTr="00D01C00">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165" w:type="pct"/>
          </w:tcPr>
          <w:p w14:paraId="0A24883A" w14:textId="77777777" w:rsidR="002972F5" w:rsidRPr="003A3621" w:rsidRDefault="002972F5" w:rsidP="002972F5">
            <w:pPr>
              <w:spacing w:after="0"/>
              <w:contextualSpacing/>
              <w:jc w:val="center"/>
              <w:rPr>
                <w:rFonts w:cs="Arial"/>
                <w:b w:val="0"/>
                <w:bCs w:val="0"/>
                <w:color w:val="000000"/>
              </w:rPr>
            </w:pPr>
            <w:r w:rsidRPr="003A3621">
              <w:rPr>
                <w:rFonts w:cs="Arial"/>
                <w:b w:val="0"/>
                <w:bCs w:val="0"/>
                <w:color w:val="000000"/>
              </w:rPr>
              <w:t>Difference between the lower state target &amp; Ohio’s performance</w:t>
            </w:r>
          </w:p>
        </w:tc>
        <w:tc>
          <w:tcPr>
            <w:tcW w:w="639" w:type="pct"/>
            <w:shd w:val="clear" w:color="auto" w:fill="F2DBDB" w:themeFill="accent2" w:themeFillTint="33"/>
            <w:vAlign w:val="center"/>
          </w:tcPr>
          <w:p w14:paraId="368ACC8C" w14:textId="4543971B" w:rsidR="002972F5" w:rsidRPr="009F16E8" w:rsidRDefault="002972F5" w:rsidP="00D01C00">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BF2150">
              <w:rPr>
                <w:rFonts w:cs="Arial"/>
                <w:color w:val="000000"/>
              </w:rPr>
              <w:t>-0.03%</w:t>
            </w:r>
          </w:p>
        </w:tc>
        <w:tc>
          <w:tcPr>
            <w:tcW w:w="639" w:type="pct"/>
            <w:shd w:val="clear" w:color="auto" w:fill="EAF1DD" w:themeFill="accent3" w:themeFillTint="33"/>
            <w:vAlign w:val="center"/>
          </w:tcPr>
          <w:p w14:paraId="05D5E889" w14:textId="6101F270" w:rsidR="002972F5" w:rsidRPr="009F16E8" w:rsidRDefault="002972F5" w:rsidP="00D01C00">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BF2150">
              <w:rPr>
                <w:rFonts w:cs="Arial"/>
                <w:color w:val="000000"/>
              </w:rPr>
              <w:t>1.84%</w:t>
            </w:r>
          </w:p>
        </w:tc>
        <w:tc>
          <w:tcPr>
            <w:tcW w:w="639" w:type="pct"/>
            <w:shd w:val="clear" w:color="auto" w:fill="EAF1DD" w:themeFill="accent3" w:themeFillTint="33"/>
            <w:vAlign w:val="center"/>
          </w:tcPr>
          <w:p w14:paraId="7A4682CB" w14:textId="02DA0BF4" w:rsidR="002972F5" w:rsidRPr="009F16E8" w:rsidRDefault="002972F5" w:rsidP="00D01C00">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BF2150">
              <w:rPr>
                <w:rFonts w:cs="Arial"/>
                <w:color w:val="000000"/>
              </w:rPr>
              <w:t>1.32%</w:t>
            </w:r>
          </w:p>
        </w:tc>
        <w:tc>
          <w:tcPr>
            <w:tcW w:w="639" w:type="pct"/>
            <w:shd w:val="clear" w:color="auto" w:fill="EAF1DD" w:themeFill="accent3" w:themeFillTint="33"/>
            <w:vAlign w:val="center"/>
          </w:tcPr>
          <w:p w14:paraId="7E149A55" w14:textId="36809D2C" w:rsidR="002972F5" w:rsidRPr="009F16E8" w:rsidRDefault="002972F5" w:rsidP="00D01C00">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BF2150">
              <w:rPr>
                <w:rFonts w:cs="Arial"/>
                <w:color w:val="000000"/>
              </w:rPr>
              <w:t>3.56%</w:t>
            </w:r>
          </w:p>
        </w:tc>
        <w:tc>
          <w:tcPr>
            <w:tcW w:w="639" w:type="pct"/>
            <w:shd w:val="clear" w:color="auto" w:fill="EAF1DD" w:themeFill="accent3" w:themeFillTint="33"/>
            <w:vAlign w:val="center"/>
          </w:tcPr>
          <w:p w14:paraId="7771A0FE" w14:textId="332EF39E" w:rsidR="002972F5" w:rsidRPr="009F16E8" w:rsidRDefault="002972F5" w:rsidP="00D01C00">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BF2150">
              <w:rPr>
                <w:rFonts w:cs="Arial"/>
                <w:color w:val="000000"/>
              </w:rPr>
              <w:t>4.76%</w:t>
            </w:r>
          </w:p>
        </w:tc>
        <w:tc>
          <w:tcPr>
            <w:tcW w:w="639" w:type="pct"/>
            <w:shd w:val="clear" w:color="auto" w:fill="EAF1DD" w:themeFill="accent3" w:themeFillTint="33"/>
            <w:vAlign w:val="center"/>
          </w:tcPr>
          <w:p w14:paraId="5D3A22B0" w14:textId="068F6F88" w:rsidR="002972F5" w:rsidRPr="009F16E8" w:rsidRDefault="002972F5" w:rsidP="00D01C00">
            <w:pPr>
              <w:spacing w:after="0"/>
              <w:contextualSpacing/>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BF2150">
              <w:rPr>
                <w:rFonts w:cs="Arial"/>
                <w:color w:val="000000"/>
              </w:rPr>
              <w:t>3.00%</w:t>
            </w:r>
          </w:p>
        </w:tc>
      </w:tr>
    </w:tbl>
    <w:p w14:paraId="1E8178B3" w14:textId="77777777" w:rsidR="003D0449" w:rsidRDefault="00B25028" w:rsidP="00FA6239">
      <w:pPr>
        <w:pStyle w:val="Heading2"/>
        <w:tabs>
          <w:tab w:val="clear" w:pos="7185"/>
          <w:tab w:val="right" w:pos="10800"/>
        </w:tabs>
      </w:pPr>
      <w:r>
        <w:t>What are the programmatic considerations?</w:t>
      </w:r>
    </w:p>
    <w:p w14:paraId="78D3ABA6" w14:textId="50C62342" w:rsidR="003D0449" w:rsidRPr="003D0449" w:rsidRDefault="003D0449" w:rsidP="00FC6D66">
      <w:pPr>
        <w:pStyle w:val="ListParagraph"/>
        <w:numPr>
          <w:ilvl w:val="0"/>
          <w:numId w:val="20"/>
        </w:numPr>
        <w:rPr>
          <w:rFonts w:asciiTheme="minorHAnsi" w:eastAsiaTheme="minorEastAsia" w:hAnsiTheme="minorHAnsi"/>
        </w:rPr>
      </w:pPr>
      <w:r w:rsidRPr="003D0449">
        <w:rPr>
          <w:rFonts w:eastAsia="Calibri" w:cs="Arial"/>
        </w:rPr>
        <w:t>In past</w:t>
      </w:r>
      <w:r w:rsidR="00540E98">
        <w:rPr>
          <w:rFonts w:eastAsia="Calibri" w:cs="Arial"/>
        </w:rPr>
        <w:t xml:space="preserve"> years</w:t>
      </w:r>
      <w:r w:rsidRPr="003D0449">
        <w:rPr>
          <w:rFonts w:eastAsia="Calibri" w:cs="Arial"/>
        </w:rPr>
        <w:t>, the Office for Exceptional Children has heavily promoted both mediation and facilitation, and has seen an increase in facilitated team meetings, which has prevented a need for mediation in some cases.</w:t>
      </w:r>
    </w:p>
    <w:p w14:paraId="6B6CF7B6" w14:textId="77777777" w:rsidR="003D0449" w:rsidRDefault="003D0449" w:rsidP="00FC6D66">
      <w:pPr>
        <w:pStyle w:val="ListParagraph"/>
        <w:numPr>
          <w:ilvl w:val="0"/>
          <w:numId w:val="20"/>
        </w:numPr>
      </w:pPr>
      <w:r>
        <w:t>Mediations have become increasingly more contentious and complex because of the impact of the COVID-19 pandemic.</w:t>
      </w:r>
    </w:p>
    <w:p w14:paraId="4E67FD6C" w14:textId="438C7010" w:rsidR="003D0449" w:rsidRDefault="003D0449" w:rsidP="00FC6D66">
      <w:pPr>
        <w:pStyle w:val="ListParagraph"/>
        <w:numPr>
          <w:ilvl w:val="0"/>
          <w:numId w:val="20"/>
        </w:numPr>
      </w:pPr>
      <w:r w:rsidRPr="003D0449">
        <w:rPr>
          <w:rFonts w:eastAsia="Calibri" w:cs="Arial"/>
        </w:rPr>
        <w:t xml:space="preserve">Mediations currently </w:t>
      </w:r>
      <w:r w:rsidR="00540E98">
        <w:rPr>
          <w:rFonts w:eastAsia="Calibri" w:cs="Arial"/>
        </w:rPr>
        <w:t xml:space="preserve">are </w:t>
      </w:r>
      <w:r w:rsidRPr="003D0449">
        <w:rPr>
          <w:rFonts w:eastAsia="Calibri" w:cs="Arial"/>
        </w:rPr>
        <w:t>performed virtually and not all parties agree to participate in that format.</w:t>
      </w:r>
    </w:p>
    <w:p w14:paraId="3BE749F7" w14:textId="46F7237E" w:rsidR="003D0449" w:rsidRPr="003D0449" w:rsidRDefault="003D0449" w:rsidP="00FC6D66">
      <w:pPr>
        <w:pStyle w:val="ListParagraph"/>
        <w:numPr>
          <w:ilvl w:val="0"/>
          <w:numId w:val="20"/>
        </w:numPr>
      </w:pPr>
      <w:r w:rsidRPr="003D0449">
        <w:rPr>
          <w:rFonts w:eastAsia="Calibri" w:cs="Arial"/>
        </w:rPr>
        <w:t xml:space="preserve">Mediation parties are in full control of agreements. Mediators and the </w:t>
      </w:r>
      <w:r w:rsidR="00540E98">
        <w:rPr>
          <w:rFonts w:eastAsia="Calibri" w:cs="Arial"/>
        </w:rPr>
        <w:t xml:space="preserve">Ohio Department of Education </w:t>
      </w:r>
      <w:r w:rsidRPr="003D0449">
        <w:rPr>
          <w:rFonts w:eastAsia="Calibri" w:cs="Arial"/>
        </w:rPr>
        <w:t>do not control agreements.</w:t>
      </w:r>
    </w:p>
    <w:p w14:paraId="6A0910BA" w14:textId="02B0375E" w:rsidR="003D0449" w:rsidRDefault="003D0449" w:rsidP="00FC6D66">
      <w:pPr>
        <w:pStyle w:val="ListParagraph"/>
        <w:numPr>
          <w:ilvl w:val="0"/>
          <w:numId w:val="20"/>
        </w:numPr>
      </w:pPr>
      <w:r w:rsidRPr="003D0449">
        <w:rPr>
          <w:rFonts w:eastAsia="Calibri" w:cs="Arial"/>
        </w:rPr>
        <w:t xml:space="preserve">Some parties enter mediation with </w:t>
      </w:r>
      <w:r w:rsidR="00070920">
        <w:rPr>
          <w:rFonts w:eastAsia="Calibri" w:cs="Arial"/>
        </w:rPr>
        <w:t>differing</w:t>
      </w:r>
      <w:r w:rsidRPr="003D0449">
        <w:rPr>
          <w:rFonts w:eastAsia="Calibri" w:cs="Arial"/>
        </w:rPr>
        <w:t xml:space="preserve"> expectations of resolution options.</w:t>
      </w:r>
      <w:r w:rsidR="001A4693">
        <w:rPr>
          <w:rFonts w:eastAsia="Calibri" w:cs="Arial"/>
        </w:rPr>
        <w:t xml:space="preserve"> This results in some mediations being less likely to reach agreement.</w:t>
      </w:r>
    </w:p>
    <w:p w14:paraId="69A46B85" w14:textId="2C0333AE" w:rsidR="00CF4E24" w:rsidRDefault="00CF4E24" w:rsidP="00B25028">
      <w:pPr>
        <w:pStyle w:val="Heading2"/>
      </w:pPr>
      <w:r w:rsidRPr="00CF4E24">
        <w:lastRenderedPageBreak/>
        <w:t>Proposed Targets</w:t>
      </w:r>
    </w:p>
    <w:p w14:paraId="312BC850" w14:textId="77777777" w:rsidR="00C75936" w:rsidRDefault="00C75936" w:rsidP="00CD095E">
      <w:pPr>
        <w:pStyle w:val="ListParagraph"/>
        <w:numPr>
          <w:ilvl w:val="0"/>
          <w:numId w:val="16"/>
        </w:numPr>
        <w:rPr>
          <w:rFonts w:eastAsia="Times New Roman" w:cstheme="minorHAnsi"/>
          <w:color w:val="000000"/>
        </w:rPr>
      </w:pPr>
      <w:r>
        <w:rPr>
          <w:rFonts w:eastAsia="Times New Roman" w:cstheme="minorHAnsi"/>
          <w:color w:val="000000"/>
        </w:rPr>
        <w:t xml:space="preserve">Targets should be rigorous, yet attainable. </w:t>
      </w:r>
    </w:p>
    <w:p w14:paraId="0003E9C5" w14:textId="40B4C7D5" w:rsidR="00C75936" w:rsidRPr="00ED49A6" w:rsidRDefault="00C75936" w:rsidP="00CD095E">
      <w:pPr>
        <w:pStyle w:val="ListParagraph"/>
        <w:numPr>
          <w:ilvl w:val="0"/>
          <w:numId w:val="16"/>
        </w:numPr>
      </w:pPr>
      <w:r w:rsidRPr="00C75936">
        <w:rPr>
          <w:rFonts w:eastAsia="Times New Roman" w:cstheme="minorHAnsi"/>
          <w:color w:val="000000"/>
        </w:rPr>
        <w:t>Targets may remain the same several years in a row, though the final target year (2025-2026) must reflect improvement over baseline.</w:t>
      </w:r>
    </w:p>
    <w:p w14:paraId="5BF3B737" w14:textId="574D7B0A" w:rsidR="00ED49A6" w:rsidRPr="006D5B32" w:rsidRDefault="00ED49A6" w:rsidP="00CD095E">
      <w:pPr>
        <w:pStyle w:val="ListParagraph"/>
        <w:numPr>
          <w:ilvl w:val="0"/>
          <w:numId w:val="16"/>
        </w:numPr>
      </w:pPr>
      <w:r>
        <w:rPr>
          <w:rFonts w:eastAsia="Times New Roman" w:cstheme="minorHAnsi"/>
          <w:color w:val="000000"/>
        </w:rPr>
        <w:t xml:space="preserve">Targets may be reflected in ranges as in prior years. </w:t>
      </w:r>
    </w:p>
    <w:p w14:paraId="2D94C255" w14:textId="7D149E0B" w:rsidR="006D5B32" w:rsidRDefault="006D5B32" w:rsidP="00CD095E">
      <w:pPr>
        <w:pStyle w:val="ListParagraph"/>
        <w:numPr>
          <w:ilvl w:val="0"/>
          <w:numId w:val="16"/>
        </w:numPr>
      </w:pPr>
      <w:r>
        <w:t>The goal for indicator 1</w:t>
      </w:r>
      <w:r w:rsidR="004B26DB">
        <w:t>6</w:t>
      </w:r>
      <w:r>
        <w:t xml:space="preserve"> is to be at or above the target or to fall within the target range.</w:t>
      </w:r>
    </w:p>
    <w:p w14:paraId="604EDB84" w14:textId="77777777" w:rsidR="00E965BA" w:rsidRPr="006D5B32" w:rsidRDefault="00E965BA" w:rsidP="00CD095E">
      <w:pPr>
        <w:pStyle w:val="ListParagraph"/>
        <w:numPr>
          <w:ilvl w:val="0"/>
          <w:numId w:val="16"/>
        </w:numPr>
      </w:pPr>
      <w:r>
        <w:rPr>
          <w:rFonts w:eastAsia="Times New Roman" w:cstheme="minorHAnsi"/>
          <w:color w:val="000000"/>
        </w:rPr>
        <w:t xml:space="preserve">Previous target ranges are identified in the table below. </w:t>
      </w:r>
    </w:p>
    <w:p w14:paraId="569A5E39" w14:textId="03873B07" w:rsidR="00B75452" w:rsidRDefault="00B75452" w:rsidP="00B75452">
      <w:pPr>
        <w:pStyle w:val="Caption"/>
        <w:keepNext/>
      </w:pPr>
      <w:r>
        <w:t xml:space="preserve">Table </w:t>
      </w:r>
      <w:r>
        <w:fldChar w:fldCharType="begin"/>
      </w:r>
      <w:r>
        <w:instrText>SEQ Table \* ARABIC</w:instrText>
      </w:r>
      <w:r>
        <w:fldChar w:fldCharType="separate"/>
      </w:r>
      <w:r w:rsidR="00A7327E">
        <w:rPr>
          <w:noProof/>
        </w:rPr>
        <w:t>2</w:t>
      </w:r>
      <w:r>
        <w:fldChar w:fldCharType="end"/>
      </w:r>
      <w:r>
        <w:t>. Ohio’s previous target ranges for indicator 16.</w:t>
      </w:r>
    </w:p>
    <w:tbl>
      <w:tblPr>
        <w:tblStyle w:val="PlainTable1"/>
        <w:tblW w:w="5002" w:type="pct"/>
        <w:tblLook w:val="04A0" w:firstRow="1" w:lastRow="0" w:firstColumn="1" w:lastColumn="0" w:noHBand="0" w:noVBand="1"/>
        <w:tblCaption w:val="Indicator 16 Previous Target Ranges"/>
        <w:tblDescription w:val="This table displays the previous state targets for indicator 16."/>
      </w:tblPr>
      <w:tblGrid>
        <w:gridCol w:w="1547"/>
        <w:gridCol w:w="1544"/>
        <w:gridCol w:w="1544"/>
        <w:gridCol w:w="1544"/>
        <w:gridCol w:w="1541"/>
        <w:gridCol w:w="1541"/>
        <w:gridCol w:w="1533"/>
      </w:tblGrid>
      <w:tr w:rsidR="00AF5FA7" w:rsidRPr="00762EC3" w14:paraId="769E208A" w14:textId="77777777" w:rsidTr="00CB383A">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717" w:type="pct"/>
          </w:tcPr>
          <w:p w14:paraId="2FC89D76" w14:textId="28641327" w:rsidR="005F765F" w:rsidRPr="00762EC3" w:rsidRDefault="00B95F2E" w:rsidP="00D7696D">
            <w:pPr>
              <w:spacing w:after="0"/>
              <w:jc w:val="center"/>
              <w:rPr>
                <w:b w:val="0"/>
                <w:bCs w:val="0"/>
              </w:rPr>
            </w:pPr>
            <w:bookmarkStart w:id="3" w:name="Title_Previous_Target_Ranges"/>
            <w:bookmarkEnd w:id="3"/>
            <w:r>
              <w:t>S</w:t>
            </w:r>
            <w:r w:rsidR="005F765F" w:rsidRPr="00762EC3">
              <w:t>chool Year</w:t>
            </w:r>
          </w:p>
        </w:tc>
        <w:tc>
          <w:tcPr>
            <w:tcW w:w="715" w:type="pct"/>
          </w:tcPr>
          <w:p w14:paraId="4C6EBBCC" w14:textId="5FFFB6AA" w:rsidR="005F765F" w:rsidRPr="00762EC3" w:rsidRDefault="00762EC3" w:rsidP="00D7696D">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762EC3">
              <w:t>2014-</w:t>
            </w:r>
            <w:r w:rsidR="00505627">
              <w:t>20</w:t>
            </w:r>
            <w:r w:rsidRPr="00762EC3">
              <w:t>15</w:t>
            </w:r>
          </w:p>
        </w:tc>
        <w:tc>
          <w:tcPr>
            <w:tcW w:w="715" w:type="pct"/>
          </w:tcPr>
          <w:p w14:paraId="13F760D7" w14:textId="20BB9040" w:rsidR="005F765F" w:rsidRPr="00762EC3" w:rsidRDefault="00762EC3" w:rsidP="00D7696D">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762EC3">
              <w:t>2015-</w:t>
            </w:r>
            <w:r w:rsidR="00505627">
              <w:t>20</w:t>
            </w:r>
            <w:r w:rsidRPr="00762EC3">
              <w:t>16</w:t>
            </w:r>
          </w:p>
        </w:tc>
        <w:tc>
          <w:tcPr>
            <w:tcW w:w="715" w:type="pct"/>
          </w:tcPr>
          <w:p w14:paraId="4E317914" w14:textId="5EAC1969" w:rsidR="005F765F" w:rsidRPr="00762EC3" w:rsidRDefault="00762EC3" w:rsidP="00D7696D">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762EC3">
              <w:t>2016-</w:t>
            </w:r>
            <w:r w:rsidR="00505627">
              <w:t>20</w:t>
            </w:r>
            <w:r w:rsidRPr="00762EC3">
              <w:t>17</w:t>
            </w:r>
          </w:p>
        </w:tc>
        <w:tc>
          <w:tcPr>
            <w:tcW w:w="714" w:type="pct"/>
          </w:tcPr>
          <w:p w14:paraId="3E4D8199" w14:textId="420460A5" w:rsidR="005F765F" w:rsidRPr="00762EC3" w:rsidRDefault="005F765F" w:rsidP="00D7696D">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762EC3">
              <w:t>2017-</w:t>
            </w:r>
            <w:r w:rsidR="00505627">
              <w:t>20</w:t>
            </w:r>
            <w:r w:rsidRPr="00762EC3">
              <w:t>18</w:t>
            </w:r>
          </w:p>
        </w:tc>
        <w:tc>
          <w:tcPr>
            <w:tcW w:w="714" w:type="pct"/>
          </w:tcPr>
          <w:p w14:paraId="3E719A3B" w14:textId="39F8A817" w:rsidR="005F765F" w:rsidRPr="00762EC3" w:rsidRDefault="005F765F" w:rsidP="00D7696D">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762EC3">
              <w:t>2018-</w:t>
            </w:r>
            <w:r w:rsidR="00505627">
              <w:t>20</w:t>
            </w:r>
            <w:r w:rsidRPr="00762EC3">
              <w:t>19</w:t>
            </w:r>
          </w:p>
        </w:tc>
        <w:tc>
          <w:tcPr>
            <w:tcW w:w="710" w:type="pct"/>
          </w:tcPr>
          <w:p w14:paraId="2736A67F" w14:textId="4AF09AD2" w:rsidR="005F765F" w:rsidRPr="00762EC3" w:rsidRDefault="005F765F" w:rsidP="00D7696D">
            <w:pPr>
              <w:spacing w:after="0"/>
              <w:jc w:val="center"/>
              <w:cnfStyle w:val="100000000000" w:firstRow="1" w:lastRow="0" w:firstColumn="0" w:lastColumn="0" w:oddVBand="0" w:evenVBand="0" w:oddHBand="0" w:evenHBand="0" w:firstRowFirstColumn="0" w:firstRowLastColumn="0" w:lastRowFirstColumn="0" w:lastRowLastColumn="0"/>
              <w:rPr>
                <w:b w:val="0"/>
                <w:bCs w:val="0"/>
              </w:rPr>
            </w:pPr>
            <w:r w:rsidRPr="00762EC3">
              <w:t>2019-</w:t>
            </w:r>
            <w:r w:rsidR="00505627">
              <w:t>20</w:t>
            </w:r>
            <w:r w:rsidRPr="00762EC3">
              <w:t>20</w:t>
            </w:r>
          </w:p>
        </w:tc>
      </w:tr>
      <w:tr w:rsidR="00762EC3" w:rsidRPr="00762EC3" w14:paraId="2CAC20BA" w14:textId="77777777" w:rsidTr="00CB383A">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717" w:type="pct"/>
          </w:tcPr>
          <w:p w14:paraId="2B533623" w14:textId="6BBC05A0" w:rsidR="00762EC3" w:rsidRPr="00CB383A" w:rsidRDefault="00762EC3" w:rsidP="00D7696D">
            <w:pPr>
              <w:spacing w:after="0"/>
              <w:jc w:val="center"/>
              <w:rPr>
                <w:b w:val="0"/>
                <w:bCs w:val="0"/>
              </w:rPr>
            </w:pPr>
            <w:r w:rsidRPr="00CB383A">
              <w:rPr>
                <w:b w:val="0"/>
                <w:bCs w:val="0"/>
              </w:rPr>
              <w:t xml:space="preserve">Target </w:t>
            </w:r>
            <w:r w:rsidR="00505627">
              <w:rPr>
                <w:b w:val="0"/>
                <w:bCs w:val="0"/>
              </w:rPr>
              <w:t>r</w:t>
            </w:r>
            <w:r w:rsidRPr="00CB383A">
              <w:rPr>
                <w:b w:val="0"/>
                <w:bCs w:val="0"/>
              </w:rPr>
              <w:t>ange</w:t>
            </w:r>
          </w:p>
        </w:tc>
        <w:tc>
          <w:tcPr>
            <w:tcW w:w="715" w:type="pct"/>
          </w:tcPr>
          <w:p w14:paraId="62C70072" w14:textId="3B0A1279" w:rsidR="00762EC3" w:rsidRPr="00762EC3" w:rsidRDefault="00762EC3" w:rsidP="00D7696D">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62EC3">
              <w:rPr>
                <w:rFonts w:cs="Arial"/>
                <w:color w:val="000000"/>
              </w:rPr>
              <w:t>73.00% - 81.00%</w:t>
            </w:r>
          </w:p>
        </w:tc>
        <w:tc>
          <w:tcPr>
            <w:tcW w:w="715" w:type="pct"/>
          </w:tcPr>
          <w:p w14:paraId="6AA58D49" w14:textId="0C738E31" w:rsidR="00762EC3" w:rsidRPr="00762EC3" w:rsidRDefault="00762EC3" w:rsidP="00D7696D">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62EC3">
              <w:rPr>
                <w:rFonts w:cs="Arial"/>
                <w:color w:val="000000"/>
              </w:rPr>
              <w:t>74.00% - 82.00%</w:t>
            </w:r>
          </w:p>
        </w:tc>
        <w:tc>
          <w:tcPr>
            <w:tcW w:w="715" w:type="pct"/>
          </w:tcPr>
          <w:p w14:paraId="656BCAEC" w14:textId="4822A64C" w:rsidR="00762EC3" w:rsidRPr="00762EC3" w:rsidRDefault="00762EC3" w:rsidP="00D7696D">
            <w:pPr>
              <w:spacing w:after="0"/>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762EC3">
              <w:rPr>
                <w:rFonts w:cs="Arial"/>
                <w:color w:val="000000"/>
              </w:rPr>
              <w:t>75.00% - 83.00%</w:t>
            </w:r>
          </w:p>
        </w:tc>
        <w:tc>
          <w:tcPr>
            <w:tcW w:w="714" w:type="pct"/>
          </w:tcPr>
          <w:p w14:paraId="325094B0" w14:textId="0D7BE779" w:rsidR="00762EC3" w:rsidRPr="00762EC3" w:rsidRDefault="00762EC3" w:rsidP="00D7696D">
            <w:pPr>
              <w:spacing w:after="0"/>
              <w:jc w:val="center"/>
              <w:cnfStyle w:val="000000100000" w:firstRow="0" w:lastRow="0" w:firstColumn="0" w:lastColumn="0" w:oddVBand="0" w:evenVBand="0" w:oddHBand="1" w:evenHBand="0" w:firstRowFirstColumn="0" w:firstRowLastColumn="0" w:lastRowFirstColumn="0" w:lastRowLastColumn="0"/>
            </w:pPr>
            <w:r w:rsidRPr="00762EC3">
              <w:rPr>
                <w:rFonts w:cs="Arial"/>
                <w:color w:val="000000"/>
              </w:rPr>
              <w:t>76.00% - 84.00%</w:t>
            </w:r>
          </w:p>
        </w:tc>
        <w:tc>
          <w:tcPr>
            <w:tcW w:w="714" w:type="pct"/>
          </w:tcPr>
          <w:p w14:paraId="5864F1B6" w14:textId="2987B77E" w:rsidR="00762EC3" w:rsidRPr="00762EC3" w:rsidRDefault="00762EC3" w:rsidP="00D7696D">
            <w:pPr>
              <w:spacing w:after="0"/>
              <w:jc w:val="center"/>
              <w:cnfStyle w:val="000000100000" w:firstRow="0" w:lastRow="0" w:firstColumn="0" w:lastColumn="0" w:oddVBand="0" w:evenVBand="0" w:oddHBand="1" w:evenHBand="0" w:firstRowFirstColumn="0" w:firstRowLastColumn="0" w:lastRowFirstColumn="0" w:lastRowLastColumn="0"/>
            </w:pPr>
            <w:r w:rsidRPr="00762EC3">
              <w:rPr>
                <w:rFonts w:cs="Arial"/>
                <w:color w:val="000000"/>
              </w:rPr>
              <w:t>77.00% - 85.00%</w:t>
            </w:r>
          </w:p>
        </w:tc>
        <w:tc>
          <w:tcPr>
            <w:tcW w:w="710" w:type="pct"/>
          </w:tcPr>
          <w:p w14:paraId="3399C1CA" w14:textId="7E540207" w:rsidR="00762EC3" w:rsidRPr="00762EC3" w:rsidRDefault="00762EC3" w:rsidP="00D7696D">
            <w:pPr>
              <w:spacing w:after="0"/>
              <w:jc w:val="center"/>
              <w:cnfStyle w:val="000000100000" w:firstRow="0" w:lastRow="0" w:firstColumn="0" w:lastColumn="0" w:oddVBand="0" w:evenVBand="0" w:oddHBand="1" w:evenHBand="0" w:firstRowFirstColumn="0" w:firstRowLastColumn="0" w:lastRowFirstColumn="0" w:lastRowLastColumn="0"/>
            </w:pPr>
            <w:r w:rsidRPr="00762EC3">
              <w:rPr>
                <w:rFonts w:cs="Arial"/>
                <w:color w:val="000000"/>
              </w:rPr>
              <w:t>77.00% - 85.00%</w:t>
            </w:r>
          </w:p>
        </w:tc>
      </w:tr>
    </w:tbl>
    <w:p w14:paraId="242CE1AF" w14:textId="3A968E25" w:rsidR="000E5E30" w:rsidRDefault="000E5E30" w:rsidP="000E5E30">
      <w:pPr>
        <w:pStyle w:val="Caption"/>
        <w:keepNext/>
      </w:pPr>
      <w:r>
        <w:t xml:space="preserve">Table </w:t>
      </w:r>
      <w:r>
        <w:fldChar w:fldCharType="begin"/>
      </w:r>
      <w:r>
        <w:instrText>SEQ Table \* ARABIC</w:instrText>
      </w:r>
      <w:r>
        <w:fldChar w:fldCharType="separate"/>
      </w:r>
      <w:r w:rsidR="00A7327E">
        <w:rPr>
          <w:noProof/>
        </w:rPr>
        <w:t>3</w:t>
      </w:r>
      <w:r>
        <w:fldChar w:fldCharType="end"/>
      </w:r>
      <w:r w:rsidR="00EE4FAF">
        <w:t>. Proposed Target Table Option A – Indicator 16</w:t>
      </w:r>
    </w:p>
    <w:tbl>
      <w:tblPr>
        <w:tblStyle w:val="PlainTable1"/>
        <w:tblW w:w="5003" w:type="pct"/>
        <w:tblLook w:val="04A0" w:firstRow="1" w:lastRow="0" w:firstColumn="1" w:lastColumn="0" w:noHBand="0" w:noVBand="1"/>
        <w:tblCaption w:val="Proposed Target Table Option A Ind 16"/>
        <w:tblDescription w:val="This table displays the first set of proposed target options, Option A, for indicator 16."/>
      </w:tblPr>
      <w:tblGrid>
        <w:gridCol w:w="2588"/>
        <w:gridCol w:w="963"/>
        <w:gridCol w:w="963"/>
        <w:gridCol w:w="1047"/>
        <w:gridCol w:w="1047"/>
        <w:gridCol w:w="1047"/>
        <w:gridCol w:w="1047"/>
        <w:gridCol w:w="1047"/>
        <w:gridCol w:w="1047"/>
      </w:tblGrid>
      <w:tr w:rsidR="000E5E30" w:rsidRPr="007D64F6" w14:paraId="26B01C02" w14:textId="77777777" w:rsidTr="000E5E30">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99" w:type="pct"/>
          </w:tcPr>
          <w:p w14:paraId="0F664FD3" w14:textId="164D8865" w:rsidR="000E5E30" w:rsidRPr="007D64F6" w:rsidRDefault="000E5E30" w:rsidP="00D754C8">
            <w:pPr>
              <w:spacing w:after="0"/>
              <w:jc w:val="center"/>
              <w:rPr>
                <w:sz w:val="18"/>
                <w:szCs w:val="18"/>
              </w:rPr>
            </w:pPr>
            <w:bookmarkStart w:id="4" w:name="Title_Proposed_Targets_Option_A"/>
            <w:bookmarkEnd w:id="4"/>
            <w:r w:rsidRPr="007D64F6">
              <w:rPr>
                <w:sz w:val="18"/>
                <w:szCs w:val="18"/>
              </w:rPr>
              <w:t>Indicator 1</w:t>
            </w:r>
            <w:r>
              <w:rPr>
                <w:sz w:val="18"/>
                <w:szCs w:val="18"/>
              </w:rPr>
              <w:t>6</w:t>
            </w:r>
            <w:r w:rsidRPr="007D64F6">
              <w:rPr>
                <w:sz w:val="18"/>
                <w:szCs w:val="18"/>
              </w:rPr>
              <w:t xml:space="preserve">: </w:t>
            </w:r>
            <w:r>
              <w:rPr>
                <w:sz w:val="18"/>
                <w:szCs w:val="18"/>
              </w:rPr>
              <w:t>Mediation Agreements</w:t>
            </w:r>
          </w:p>
        </w:tc>
        <w:tc>
          <w:tcPr>
            <w:tcW w:w="446" w:type="pct"/>
          </w:tcPr>
          <w:p w14:paraId="6311177C" w14:textId="2ABE79A8" w:rsidR="000E5E30" w:rsidRPr="007D64F6" w:rsidRDefault="000E5E30"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2005-</w:t>
            </w:r>
            <w:r w:rsidR="00531629">
              <w:rPr>
                <w:sz w:val="18"/>
                <w:szCs w:val="18"/>
              </w:rPr>
              <w:t>20</w:t>
            </w:r>
            <w:r w:rsidRPr="007D64F6">
              <w:rPr>
                <w:sz w:val="18"/>
                <w:szCs w:val="18"/>
              </w:rPr>
              <w:t>06</w:t>
            </w:r>
          </w:p>
          <w:p w14:paraId="21BED4FA" w14:textId="77777777" w:rsidR="000E5E30" w:rsidRPr="007D64F6" w:rsidRDefault="000E5E30"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Baseline</w:t>
            </w:r>
          </w:p>
        </w:tc>
        <w:tc>
          <w:tcPr>
            <w:tcW w:w="446" w:type="pct"/>
          </w:tcPr>
          <w:p w14:paraId="30FD47FF" w14:textId="10D3220F" w:rsidR="000E5E30" w:rsidRPr="007D64F6" w:rsidRDefault="000E5E30"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2019-</w:t>
            </w:r>
            <w:r w:rsidR="00531629">
              <w:rPr>
                <w:sz w:val="18"/>
                <w:szCs w:val="18"/>
              </w:rPr>
              <w:t>20</w:t>
            </w:r>
            <w:r w:rsidRPr="007D64F6">
              <w:rPr>
                <w:sz w:val="18"/>
                <w:szCs w:val="18"/>
              </w:rPr>
              <w:t>20</w:t>
            </w:r>
          </w:p>
          <w:p w14:paraId="7FBFDEEB" w14:textId="77777777" w:rsidR="000E5E30" w:rsidRPr="007D64F6" w:rsidRDefault="000E5E30"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Data</w:t>
            </w:r>
          </w:p>
        </w:tc>
        <w:tc>
          <w:tcPr>
            <w:tcW w:w="485" w:type="pct"/>
          </w:tcPr>
          <w:p w14:paraId="7ED7E30A" w14:textId="1EB42BE1" w:rsidR="000E5E30" w:rsidRPr="007D64F6" w:rsidRDefault="000E5E30"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2020-</w:t>
            </w:r>
            <w:r w:rsidR="00531629">
              <w:rPr>
                <w:sz w:val="18"/>
                <w:szCs w:val="18"/>
              </w:rPr>
              <w:t>20</w:t>
            </w:r>
            <w:r w:rsidRPr="007D64F6">
              <w:rPr>
                <w:sz w:val="18"/>
                <w:szCs w:val="18"/>
              </w:rPr>
              <w:t>21</w:t>
            </w:r>
          </w:p>
          <w:p w14:paraId="3B2DF8A2" w14:textId="77777777" w:rsidR="000E5E30" w:rsidRPr="007D64F6" w:rsidRDefault="000E5E30"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Proposed Target</w:t>
            </w:r>
          </w:p>
        </w:tc>
        <w:tc>
          <w:tcPr>
            <w:tcW w:w="485" w:type="pct"/>
          </w:tcPr>
          <w:p w14:paraId="6DA83E62" w14:textId="15FCAFA4" w:rsidR="000E5E30" w:rsidRPr="007D64F6" w:rsidRDefault="000E5E30"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2021-</w:t>
            </w:r>
            <w:r w:rsidR="00531629">
              <w:rPr>
                <w:sz w:val="18"/>
                <w:szCs w:val="18"/>
              </w:rPr>
              <w:t>20</w:t>
            </w:r>
            <w:r w:rsidRPr="007D64F6">
              <w:rPr>
                <w:sz w:val="18"/>
                <w:szCs w:val="18"/>
              </w:rPr>
              <w:t>22</w:t>
            </w:r>
          </w:p>
          <w:p w14:paraId="6A6E2624" w14:textId="77777777" w:rsidR="000E5E30" w:rsidRPr="007D64F6" w:rsidRDefault="000E5E30"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Proposed Target</w:t>
            </w:r>
          </w:p>
        </w:tc>
        <w:tc>
          <w:tcPr>
            <w:tcW w:w="485" w:type="pct"/>
          </w:tcPr>
          <w:p w14:paraId="1EBA2CB0" w14:textId="65F7D780" w:rsidR="000E5E30" w:rsidRPr="007D64F6" w:rsidRDefault="000E5E30"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2022-</w:t>
            </w:r>
            <w:r w:rsidR="00531629">
              <w:rPr>
                <w:sz w:val="18"/>
                <w:szCs w:val="18"/>
              </w:rPr>
              <w:t>20</w:t>
            </w:r>
            <w:r w:rsidRPr="007D64F6">
              <w:rPr>
                <w:sz w:val="18"/>
                <w:szCs w:val="18"/>
              </w:rPr>
              <w:t>23 Proposed Target</w:t>
            </w:r>
          </w:p>
        </w:tc>
        <w:tc>
          <w:tcPr>
            <w:tcW w:w="485" w:type="pct"/>
          </w:tcPr>
          <w:p w14:paraId="67512E35" w14:textId="2E43087F" w:rsidR="000E5E30" w:rsidRPr="007D64F6" w:rsidRDefault="000E5E30"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2023-</w:t>
            </w:r>
            <w:r w:rsidR="00531629">
              <w:rPr>
                <w:sz w:val="18"/>
                <w:szCs w:val="18"/>
              </w:rPr>
              <w:t>20</w:t>
            </w:r>
            <w:r w:rsidRPr="007D64F6">
              <w:rPr>
                <w:sz w:val="18"/>
                <w:szCs w:val="18"/>
              </w:rPr>
              <w:t>24 Proposed Target</w:t>
            </w:r>
          </w:p>
        </w:tc>
        <w:tc>
          <w:tcPr>
            <w:tcW w:w="485" w:type="pct"/>
          </w:tcPr>
          <w:p w14:paraId="30669207" w14:textId="785A51A1" w:rsidR="000E5E30" w:rsidRPr="007D64F6" w:rsidRDefault="000E5E30"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2024-</w:t>
            </w:r>
            <w:r w:rsidR="00531629">
              <w:rPr>
                <w:sz w:val="18"/>
                <w:szCs w:val="18"/>
              </w:rPr>
              <w:t>20</w:t>
            </w:r>
            <w:r w:rsidRPr="007D64F6">
              <w:rPr>
                <w:sz w:val="18"/>
                <w:szCs w:val="18"/>
              </w:rPr>
              <w:t>25 Proposed Target</w:t>
            </w:r>
          </w:p>
        </w:tc>
        <w:tc>
          <w:tcPr>
            <w:tcW w:w="485" w:type="pct"/>
          </w:tcPr>
          <w:p w14:paraId="69FCEA29" w14:textId="12CD7713" w:rsidR="000E5E30" w:rsidRPr="007D64F6" w:rsidRDefault="000E5E30"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2025-</w:t>
            </w:r>
            <w:r w:rsidR="00531629">
              <w:rPr>
                <w:sz w:val="18"/>
                <w:szCs w:val="18"/>
              </w:rPr>
              <w:t>20</w:t>
            </w:r>
            <w:r w:rsidRPr="007D64F6">
              <w:rPr>
                <w:sz w:val="18"/>
                <w:szCs w:val="18"/>
              </w:rPr>
              <w:t>26 Proposed Target</w:t>
            </w:r>
          </w:p>
        </w:tc>
      </w:tr>
      <w:tr w:rsidR="000E5E30" w14:paraId="5C289A54" w14:textId="77777777" w:rsidTr="000E5E30">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199" w:type="pct"/>
          </w:tcPr>
          <w:p w14:paraId="4D2F4EE5" w14:textId="769D7C2A" w:rsidR="000E5E30" w:rsidRPr="000E5E30" w:rsidRDefault="000E5E30" w:rsidP="000E5E30">
            <w:pPr>
              <w:spacing w:after="0"/>
              <w:jc w:val="center"/>
              <w:rPr>
                <w:b w:val="0"/>
                <w:bCs w:val="0"/>
              </w:rPr>
            </w:pPr>
            <w:r w:rsidRPr="000E5E30">
              <w:rPr>
                <w:b w:val="0"/>
                <w:bCs w:val="0"/>
              </w:rPr>
              <w:t>Percentage of mediations held that resulted in mediation agreements</w:t>
            </w:r>
          </w:p>
        </w:tc>
        <w:tc>
          <w:tcPr>
            <w:tcW w:w="446" w:type="pct"/>
            <w:vAlign w:val="center"/>
          </w:tcPr>
          <w:p w14:paraId="2AF27CB0" w14:textId="386F5BE0" w:rsidR="000E5E30" w:rsidRDefault="000E5E30" w:rsidP="000E5E30">
            <w:pPr>
              <w:spacing w:after="0"/>
              <w:jc w:val="center"/>
              <w:cnfStyle w:val="000000100000" w:firstRow="0" w:lastRow="0" w:firstColumn="0" w:lastColumn="0" w:oddVBand="0" w:evenVBand="0" w:oddHBand="1" w:evenHBand="0" w:firstRowFirstColumn="0" w:firstRowLastColumn="0" w:lastRowFirstColumn="0" w:lastRowLastColumn="0"/>
            </w:pPr>
            <w:r>
              <w:t>83.50%</w:t>
            </w:r>
          </w:p>
        </w:tc>
        <w:tc>
          <w:tcPr>
            <w:tcW w:w="446" w:type="pct"/>
            <w:vAlign w:val="center"/>
          </w:tcPr>
          <w:p w14:paraId="33A62914" w14:textId="45E7EA64" w:rsidR="000E5E30" w:rsidRDefault="000E5E30" w:rsidP="000E5E30">
            <w:pPr>
              <w:spacing w:after="0"/>
              <w:jc w:val="center"/>
              <w:cnfStyle w:val="000000100000" w:firstRow="0" w:lastRow="0" w:firstColumn="0" w:lastColumn="0" w:oddVBand="0" w:evenVBand="0" w:oddHBand="1" w:evenHBand="0" w:firstRowFirstColumn="0" w:firstRowLastColumn="0" w:lastRowFirstColumn="0" w:lastRowLastColumn="0"/>
            </w:pPr>
            <w:r>
              <w:t>80.00%</w:t>
            </w:r>
          </w:p>
        </w:tc>
        <w:tc>
          <w:tcPr>
            <w:tcW w:w="485" w:type="pct"/>
            <w:vAlign w:val="center"/>
          </w:tcPr>
          <w:p w14:paraId="0882C680" w14:textId="11EC4B6E" w:rsidR="000E5E30" w:rsidRPr="00AA797B" w:rsidRDefault="000E5E30" w:rsidP="000E5E30">
            <w:pPr>
              <w:spacing w:after="0"/>
              <w:jc w:val="center"/>
              <w:cnfStyle w:val="000000100000" w:firstRow="0" w:lastRow="0" w:firstColumn="0" w:lastColumn="0" w:oddVBand="0" w:evenVBand="0" w:oddHBand="1" w:evenHBand="0" w:firstRowFirstColumn="0" w:firstRowLastColumn="0" w:lastRowFirstColumn="0" w:lastRowLastColumn="0"/>
              <w:rPr>
                <w:rFonts w:eastAsia="Calibri" w:cs="Arial"/>
              </w:rPr>
            </w:pPr>
            <w:r w:rsidRPr="11EB8DDA">
              <w:rPr>
                <w:rFonts w:eastAsia="Calibri" w:cs="Arial"/>
              </w:rPr>
              <w:t>77</w:t>
            </w:r>
            <w:r>
              <w:rPr>
                <w:rFonts w:eastAsia="Calibri" w:cs="Arial"/>
              </w:rPr>
              <w:t xml:space="preserve">.00% </w:t>
            </w:r>
            <w:r w:rsidRPr="11EB8DDA">
              <w:rPr>
                <w:rFonts w:eastAsia="Calibri" w:cs="Arial"/>
              </w:rPr>
              <w:t>-</w:t>
            </w:r>
            <w:r>
              <w:rPr>
                <w:rFonts w:eastAsia="Calibri" w:cs="Arial"/>
              </w:rPr>
              <w:t xml:space="preserve"> </w:t>
            </w:r>
            <w:r w:rsidRPr="11EB8DDA">
              <w:rPr>
                <w:rFonts w:eastAsia="Calibri" w:cs="Arial"/>
              </w:rPr>
              <w:t>85</w:t>
            </w:r>
            <w:r>
              <w:rPr>
                <w:rFonts w:eastAsia="Calibri" w:cs="Arial"/>
              </w:rPr>
              <w:t>.00</w:t>
            </w:r>
            <w:r w:rsidRPr="11EB8DDA">
              <w:rPr>
                <w:rFonts w:eastAsia="Calibri" w:cs="Arial"/>
              </w:rPr>
              <w:t>%</w:t>
            </w:r>
          </w:p>
        </w:tc>
        <w:tc>
          <w:tcPr>
            <w:tcW w:w="485" w:type="pct"/>
            <w:vAlign w:val="center"/>
          </w:tcPr>
          <w:p w14:paraId="1C05D500" w14:textId="0C00A0DB" w:rsidR="000E5E30" w:rsidRDefault="000E5E30" w:rsidP="000E5E30">
            <w:pPr>
              <w:spacing w:after="0"/>
              <w:jc w:val="center"/>
              <w:cnfStyle w:val="000000100000" w:firstRow="0" w:lastRow="0" w:firstColumn="0" w:lastColumn="0" w:oddVBand="0" w:evenVBand="0" w:oddHBand="1" w:evenHBand="0" w:firstRowFirstColumn="0" w:firstRowLastColumn="0" w:lastRowFirstColumn="0" w:lastRowLastColumn="0"/>
            </w:pPr>
            <w:r w:rsidRPr="11EB8DDA">
              <w:rPr>
                <w:rFonts w:eastAsia="Calibri" w:cs="Arial"/>
              </w:rPr>
              <w:t>77</w:t>
            </w:r>
            <w:r>
              <w:rPr>
                <w:rFonts w:eastAsia="Calibri" w:cs="Arial"/>
              </w:rPr>
              <w:t xml:space="preserve">.00% </w:t>
            </w:r>
            <w:r w:rsidRPr="11EB8DDA">
              <w:rPr>
                <w:rFonts w:eastAsia="Calibri" w:cs="Arial"/>
              </w:rPr>
              <w:t>-</w:t>
            </w:r>
            <w:r>
              <w:rPr>
                <w:rFonts w:eastAsia="Calibri" w:cs="Arial"/>
              </w:rPr>
              <w:t xml:space="preserve"> </w:t>
            </w:r>
            <w:r w:rsidRPr="11EB8DDA">
              <w:rPr>
                <w:rFonts w:eastAsia="Calibri" w:cs="Arial"/>
              </w:rPr>
              <w:t>85</w:t>
            </w:r>
            <w:r>
              <w:rPr>
                <w:rFonts w:eastAsia="Calibri" w:cs="Arial"/>
              </w:rPr>
              <w:t>.00</w:t>
            </w:r>
            <w:r w:rsidRPr="11EB8DDA">
              <w:rPr>
                <w:rFonts w:eastAsia="Calibri" w:cs="Arial"/>
              </w:rPr>
              <w:t>%</w:t>
            </w:r>
          </w:p>
        </w:tc>
        <w:tc>
          <w:tcPr>
            <w:tcW w:w="485" w:type="pct"/>
            <w:vAlign w:val="center"/>
          </w:tcPr>
          <w:p w14:paraId="26C912D4" w14:textId="018B1E12" w:rsidR="000E5E30" w:rsidRDefault="000E5E30" w:rsidP="000E5E30">
            <w:pPr>
              <w:spacing w:after="0"/>
              <w:jc w:val="center"/>
              <w:cnfStyle w:val="000000100000" w:firstRow="0" w:lastRow="0" w:firstColumn="0" w:lastColumn="0" w:oddVBand="0" w:evenVBand="0" w:oddHBand="1" w:evenHBand="0" w:firstRowFirstColumn="0" w:firstRowLastColumn="0" w:lastRowFirstColumn="0" w:lastRowLastColumn="0"/>
            </w:pPr>
            <w:r w:rsidRPr="11EB8DDA">
              <w:rPr>
                <w:rFonts w:eastAsia="Calibri" w:cs="Arial"/>
              </w:rPr>
              <w:t>78</w:t>
            </w:r>
            <w:r>
              <w:rPr>
                <w:rFonts w:eastAsia="Calibri" w:cs="Arial"/>
              </w:rPr>
              <w:t xml:space="preserve">.00% </w:t>
            </w:r>
            <w:r w:rsidRPr="11EB8DDA">
              <w:rPr>
                <w:rFonts w:eastAsia="Calibri" w:cs="Arial"/>
              </w:rPr>
              <w:t>-</w:t>
            </w:r>
            <w:r>
              <w:rPr>
                <w:rFonts w:eastAsia="Calibri" w:cs="Arial"/>
              </w:rPr>
              <w:t xml:space="preserve"> </w:t>
            </w:r>
            <w:r w:rsidRPr="11EB8DDA">
              <w:rPr>
                <w:rFonts w:eastAsia="Calibri" w:cs="Arial"/>
              </w:rPr>
              <w:t>86</w:t>
            </w:r>
            <w:r>
              <w:rPr>
                <w:rFonts w:eastAsia="Calibri" w:cs="Arial"/>
              </w:rPr>
              <w:t>.00</w:t>
            </w:r>
            <w:r w:rsidRPr="11EB8DDA">
              <w:rPr>
                <w:rFonts w:eastAsia="Calibri" w:cs="Arial"/>
              </w:rPr>
              <w:t>%</w:t>
            </w:r>
          </w:p>
        </w:tc>
        <w:tc>
          <w:tcPr>
            <w:tcW w:w="485" w:type="pct"/>
            <w:vAlign w:val="center"/>
          </w:tcPr>
          <w:p w14:paraId="0AE420D7" w14:textId="0729DB9F" w:rsidR="000E5E30" w:rsidRDefault="000E5E30" w:rsidP="000E5E30">
            <w:pPr>
              <w:spacing w:after="0"/>
              <w:jc w:val="center"/>
              <w:cnfStyle w:val="000000100000" w:firstRow="0" w:lastRow="0" w:firstColumn="0" w:lastColumn="0" w:oddVBand="0" w:evenVBand="0" w:oddHBand="1" w:evenHBand="0" w:firstRowFirstColumn="0" w:firstRowLastColumn="0" w:lastRowFirstColumn="0" w:lastRowLastColumn="0"/>
            </w:pPr>
            <w:r w:rsidRPr="11EB8DDA">
              <w:rPr>
                <w:rFonts w:eastAsia="Calibri" w:cs="Arial"/>
              </w:rPr>
              <w:t>79</w:t>
            </w:r>
            <w:r>
              <w:rPr>
                <w:rFonts w:eastAsia="Calibri" w:cs="Arial"/>
              </w:rPr>
              <w:t xml:space="preserve">.00% - </w:t>
            </w:r>
            <w:r w:rsidRPr="11EB8DDA">
              <w:rPr>
                <w:rFonts w:eastAsia="Calibri" w:cs="Arial"/>
              </w:rPr>
              <w:t>87</w:t>
            </w:r>
            <w:r>
              <w:rPr>
                <w:rFonts w:eastAsia="Calibri" w:cs="Arial"/>
              </w:rPr>
              <w:t>.00</w:t>
            </w:r>
            <w:r w:rsidRPr="11EB8DDA">
              <w:rPr>
                <w:rFonts w:eastAsia="Calibri" w:cs="Arial"/>
              </w:rPr>
              <w:t>%</w:t>
            </w:r>
          </w:p>
        </w:tc>
        <w:tc>
          <w:tcPr>
            <w:tcW w:w="485" w:type="pct"/>
            <w:vAlign w:val="center"/>
          </w:tcPr>
          <w:p w14:paraId="6CCC9911" w14:textId="4D5E85F0" w:rsidR="000E5E30" w:rsidRDefault="000E5E30" w:rsidP="000E5E30">
            <w:pPr>
              <w:spacing w:after="0"/>
              <w:jc w:val="center"/>
              <w:cnfStyle w:val="000000100000" w:firstRow="0" w:lastRow="0" w:firstColumn="0" w:lastColumn="0" w:oddVBand="0" w:evenVBand="0" w:oddHBand="1" w:evenHBand="0" w:firstRowFirstColumn="0" w:firstRowLastColumn="0" w:lastRowFirstColumn="0" w:lastRowLastColumn="0"/>
            </w:pPr>
            <w:r w:rsidRPr="11EB8DDA">
              <w:rPr>
                <w:rFonts w:eastAsia="Calibri" w:cs="Arial"/>
              </w:rPr>
              <w:t>80</w:t>
            </w:r>
            <w:r>
              <w:rPr>
                <w:rFonts w:eastAsia="Calibri" w:cs="Arial"/>
              </w:rPr>
              <w:t xml:space="preserve">.00% </w:t>
            </w:r>
            <w:r w:rsidRPr="11EB8DDA">
              <w:rPr>
                <w:rFonts w:eastAsia="Calibri" w:cs="Arial"/>
              </w:rPr>
              <w:t>-</w:t>
            </w:r>
            <w:r>
              <w:rPr>
                <w:rFonts w:eastAsia="Calibri" w:cs="Arial"/>
              </w:rPr>
              <w:t xml:space="preserve"> </w:t>
            </w:r>
            <w:r w:rsidRPr="11EB8DDA">
              <w:rPr>
                <w:rFonts w:eastAsia="Calibri" w:cs="Arial"/>
              </w:rPr>
              <w:t>88</w:t>
            </w:r>
            <w:r>
              <w:rPr>
                <w:rFonts w:eastAsia="Calibri" w:cs="Arial"/>
              </w:rPr>
              <w:t>.00</w:t>
            </w:r>
            <w:r w:rsidRPr="11EB8DDA">
              <w:rPr>
                <w:rFonts w:eastAsia="Calibri" w:cs="Arial"/>
              </w:rPr>
              <w:t>%</w:t>
            </w:r>
          </w:p>
        </w:tc>
        <w:tc>
          <w:tcPr>
            <w:tcW w:w="485" w:type="pct"/>
            <w:vAlign w:val="center"/>
          </w:tcPr>
          <w:p w14:paraId="00190D87" w14:textId="7D653624" w:rsidR="000E5E30" w:rsidRDefault="000E5E30" w:rsidP="000E5E30">
            <w:pPr>
              <w:spacing w:after="0"/>
              <w:jc w:val="center"/>
              <w:cnfStyle w:val="000000100000" w:firstRow="0" w:lastRow="0" w:firstColumn="0" w:lastColumn="0" w:oddVBand="0" w:evenVBand="0" w:oddHBand="1" w:evenHBand="0" w:firstRowFirstColumn="0" w:firstRowLastColumn="0" w:lastRowFirstColumn="0" w:lastRowLastColumn="0"/>
            </w:pPr>
            <w:r w:rsidRPr="11EB8DDA">
              <w:rPr>
                <w:rFonts w:eastAsia="Calibri" w:cs="Arial"/>
              </w:rPr>
              <w:t>8</w:t>
            </w:r>
            <w:r>
              <w:rPr>
                <w:rFonts w:eastAsia="Calibri" w:cs="Arial"/>
              </w:rPr>
              <w:t xml:space="preserve">4.00% </w:t>
            </w:r>
            <w:r w:rsidRPr="11EB8DDA">
              <w:rPr>
                <w:rFonts w:eastAsia="Calibri" w:cs="Arial"/>
              </w:rPr>
              <w:t>-</w:t>
            </w:r>
            <w:r>
              <w:rPr>
                <w:rFonts w:eastAsia="Calibri" w:cs="Arial"/>
              </w:rPr>
              <w:t xml:space="preserve"> </w:t>
            </w:r>
            <w:r w:rsidRPr="11EB8DDA">
              <w:rPr>
                <w:rFonts w:eastAsia="Calibri" w:cs="Arial"/>
              </w:rPr>
              <w:t>88</w:t>
            </w:r>
            <w:r>
              <w:rPr>
                <w:rFonts w:eastAsia="Calibri" w:cs="Arial"/>
              </w:rPr>
              <w:t>.00</w:t>
            </w:r>
            <w:r w:rsidRPr="11EB8DDA">
              <w:rPr>
                <w:rFonts w:eastAsia="Calibri" w:cs="Arial"/>
              </w:rPr>
              <w:t>%</w:t>
            </w:r>
          </w:p>
        </w:tc>
      </w:tr>
    </w:tbl>
    <w:p w14:paraId="320095AD" w14:textId="1D1ED7B6" w:rsidR="00CC50B2" w:rsidRDefault="00CF4E24" w:rsidP="00CF4E24">
      <w:pPr>
        <w:pStyle w:val="Heading3"/>
        <w:rPr>
          <w:rFonts w:eastAsiaTheme="minorEastAsia"/>
        </w:rPr>
      </w:pPr>
      <w:r w:rsidRPr="1676EB08">
        <w:rPr>
          <w:rFonts w:eastAsiaTheme="minorEastAsia"/>
        </w:rPr>
        <w:t xml:space="preserve">Option A </w:t>
      </w:r>
      <w:r w:rsidR="002B213C" w:rsidRPr="1676EB08">
        <w:rPr>
          <w:rFonts w:eastAsiaTheme="minorEastAsia"/>
        </w:rPr>
        <w:t>Rationale</w:t>
      </w:r>
    </w:p>
    <w:p w14:paraId="771A28A4" w14:textId="01612EA8" w:rsidR="00B75452" w:rsidRPr="00CE429B" w:rsidRDefault="00B75452" w:rsidP="00CD095E">
      <w:pPr>
        <w:pStyle w:val="ListParagraph"/>
        <w:numPr>
          <w:ilvl w:val="0"/>
          <w:numId w:val="21"/>
        </w:numPr>
      </w:pPr>
      <w:r w:rsidRPr="00CE429B">
        <w:t>Historically, more than 72% of mediations result in agreements, with more than 80% of mediations resulting in mediation agreement</w:t>
      </w:r>
      <w:r>
        <w:t>s</w:t>
      </w:r>
      <w:r w:rsidRPr="00CE429B">
        <w:t xml:space="preserve"> in the two most recent years.</w:t>
      </w:r>
    </w:p>
    <w:p w14:paraId="41960C0C" w14:textId="77777777" w:rsidR="00B75452" w:rsidRPr="00CE429B" w:rsidRDefault="00B75452" w:rsidP="00CD095E">
      <w:pPr>
        <w:pStyle w:val="ListParagraph"/>
        <w:numPr>
          <w:ilvl w:val="0"/>
          <w:numId w:val="21"/>
        </w:numPr>
      </w:pPr>
      <w:r w:rsidRPr="00CE429B">
        <w:t xml:space="preserve">The COVID-19 pandemic has resulted in many challenges, including virtual mediations. </w:t>
      </w:r>
    </w:p>
    <w:p w14:paraId="3458F490" w14:textId="5F935B58" w:rsidR="00B75452" w:rsidRPr="00CE429B" w:rsidRDefault="00B75452" w:rsidP="00CD095E">
      <w:pPr>
        <w:pStyle w:val="ListParagraph"/>
        <w:numPr>
          <w:ilvl w:val="0"/>
          <w:numId w:val="21"/>
        </w:numPr>
      </w:pPr>
      <w:r w:rsidRPr="00CE429B">
        <w:t>The targets for 2020-</w:t>
      </w:r>
      <w:r w:rsidR="00531629">
        <w:t>20</w:t>
      </w:r>
      <w:r w:rsidRPr="00CE429B">
        <w:t xml:space="preserve">21 and </w:t>
      </w:r>
      <w:r>
        <w:t>20</w:t>
      </w:r>
      <w:r w:rsidRPr="00CE429B">
        <w:t>21-</w:t>
      </w:r>
      <w:r w:rsidR="00531629">
        <w:t>20</w:t>
      </w:r>
      <w:r w:rsidRPr="00CE429B">
        <w:t>22 allow the state to maintain the 2019-</w:t>
      </w:r>
      <w:r w:rsidR="00531629">
        <w:t>20</w:t>
      </w:r>
      <w:r w:rsidRPr="00CE429B">
        <w:t xml:space="preserve">20 performance while recovering from the impact of the pandemic. </w:t>
      </w:r>
    </w:p>
    <w:p w14:paraId="553B00E3" w14:textId="2BF3E789" w:rsidR="00B75452" w:rsidRDefault="00B75452" w:rsidP="00CD095E">
      <w:pPr>
        <w:pStyle w:val="ListParagraph"/>
        <w:numPr>
          <w:ilvl w:val="0"/>
          <w:numId w:val="21"/>
        </w:numPr>
      </w:pPr>
      <w:r w:rsidRPr="00CE429B">
        <w:t>The targets will increase by 1% each to year to end above the 83.5% baseline.</w:t>
      </w:r>
    </w:p>
    <w:p w14:paraId="434632DD" w14:textId="7CACEE8D" w:rsidR="00B75452" w:rsidRPr="00B75452" w:rsidRDefault="00B75452" w:rsidP="00CD095E">
      <w:pPr>
        <w:pStyle w:val="ListParagraph"/>
        <w:numPr>
          <w:ilvl w:val="0"/>
          <w:numId w:val="21"/>
        </w:numPr>
      </w:pPr>
      <w:r w:rsidRPr="00531629">
        <w:rPr>
          <w:rStyle w:val="normaltextrun"/>
          <w:rFonts w:cs="Arial"/>
          <w:color w:val="000000"/>
        </w:rPr>
        <w:t>In comparison to Ohio’s 2019-</w:t>
      </w:r>
      <w:r w:rsidR="00531629">
        <w:rPr>
          <w:rStyle w:val="normaltextrun"/>
          <w:rFonts w:cs="Arial"/>
          <w:color w:val="000000"/>
        </w:rPr>
        <w:t>20</w:t>
      </w:r>
      <w:r w:rsidRPr="00531629">
        <w:rPr>
          <w:rStyle w:val="normaltextrun"/>
          <w:rFonts w:cs="Arial"/>
          <w:color w:val="000000"/>
        </w:rPr>
        <w:t>20 performance, m</w:t>
      </w:r>
      <w:r w:rsidRPr="00531629">
        <w:t>eeting the final target range of 84%-88% w</w:t>
      </w:r>
      <w:r w:rsidR="00531629">
        <w:t>ould</w:t>
      </w:r>
      <w:r w:rsidRPr="00531629">
        <w:t xml:space="preserve"> require </w:t>
      </w:r>
      <w:r w:rsidRPr="00531629">
        <w:rPr>
          <w:b/>
          <w:bCs/>
        </w:rPr>
        <w:t xml:space="preserve">4 </w:t>
      </w:r>
      <w:r w:rsidRPr="00531629">
        <w:t>more mediations to result in mediation agreements</w:t>
      </w:r>
      <w:r w:rsidRPr="00CE429B">
        <w:t>.</w:t>
      </w:r>
    </w:p>
    <w:p w14:paraId="663EA3AC" w14:textId="7D171FF3" w:rsidR="00B75452" w:rsidRDefault="00B75452" w:rsidP="00B75452">
      <w:pPr>
        <w:pStyle w:val="Caption"/>
        <w:keepNext/>
      </w:pPr>
      <w:r>
        <w:t xml:space="preserve">Table </w:t>
      </w:r>
      <w:r>
        <w:fldChar w:fldCharType="begin"/>
      </w:r>
      <w:r>
        <w:instrText>SEQ Table \* ARABIC</w:instrText>
      </w:r>
      <w:r>
        <w:fldChar w:fldCharType="separate"/>
      </w:r>
      <w:r w:rsidR="00A7327E">
        <w:rPr>
          <w:noProof/>
        </w:rPr>
        <w:t>4</w:t>
      </w:r>
      <w:r>
        <w:fldChar w:fldCharType="end"/>
      </w:r>
      <w:r>
        <w:t>. Proposed Target Table Option B – Indicator 16</w:t>
      </w:r>
    </w:p>
    <w:tbl>
      <w:tblPr>
        <w:tblStyle w:val="PlainTable1"/>
        <w:tblW w:w="5003" w:type="pct"/>
        <w:tblLook w:val="04A0" w:firstRow="1" w:lastRow="0" w:firstColumn="1" w:lastColumn="0" w:noHBand="0" w:noVBand="1"/>
        <w:tblCaption w:val="Proposed Target Table Option B Ind 16"/>
        <w:tblDescription w:val="This table displays the second set of proposed target options, Option B, for indicator 16."/>
      </w:tblPr>
      <w:tblGrid>
        <w:gridCol w:w="2588"/>
        <w:gridCol w:w="963"/>
        <w:gridCol w:w="963"/>
        <w:gridCol w:w="1047"/>
        <w:gridCol w:w="1047"/>
        <w:gridCol w:w="1047"/>
        <w:gridCol w:w="1047"/>
        <w:gridCol w:w="1047"/>
        <w:gridCol w:w="1047"/>
      </w:tblGrid>
      <w:tr w:rsidR="00B75452" w:rsidRPr="007D64F6" w14:paraId="7334B75C" w14:textId="77777777" w:rsidTr="00D754C8">
        <w:trPr>
          <w:cnfStyle w:val="100000000000" w:firstRow="1" w:lastRow="0" w:firstColumn="0" w:lastColumn="0" w:oddVBand="0" w:evenVBand="0" w:oddHBand="0" w:evenHBand="0" w:firstRowFirstColumn="0" w:firstRowLastColumn="0" w:lastRowFirstColumn="0" w:lastRowLastColumn="0"/>
          <w:cantSplit/>
          <w:trHeight w:val="432"/>
          <w:tblHeader/>
        </w:trPr>
        <w:tc>
          <w:tcPr>
            <w:cnfStyle w:val="001000000000" w:firstRow="0" w:lastRow="0" w:firstColumn="1" w:lastColumn="0" w:oddVBand="0" w:evenVBand="0" w:oddHBand="0" w:evenHBand="0" w:firstRowFirstColumn="0" w:firstRowLastColumn="0" w:lastRowFirstColumn="0" w:lastRowLastColumn="0"/>
            <w:tcW w:w="1199" w:type="pct"/>
          </w:tcPr>
          <w:p w14:paraId="3EF46456" w14:textId="77777777" w:rsidR="00B75452" w:rsidRPr="007D64F6" w:rsidRDefault="00B75452" w:rsidP="00D754C8">
            <w:pPr>
              <w:spacing w:after="0"/>
              <w:jc w:val="center"/>
              <w:rPr>
                <w:sz w:val="18"/>
                <w:szCs w:val="18"/>
              </w:rPr>
            </w:pPr>
            <w:bookmarkStart w:id="5" w:name="Title_Proposed_Targets_Option_B"/>
            <w:bookmarkEnd w:id="5"/>
            <w:r w:rsidRPr="007D64F6">
              <w:rPr>
                <w:sz w:val="18"/>
                <w:szCs w:val="18"/>
              </w:rPr>
              <w:t>Indicator 1</w:t>
            </w:r>
            <w:r>
              <w:rPr>
                <w:sz w:val="18"/>
                <w:szCs w:val="18"/>
              </w:rPr>
              <w:t>6</w:t>
            </w:r>
            <w:r w:rsidRPr="007D64F6">
              <w:rPr>
                <w:sz w:val="18"/>
                <w:szCs w:val="18"/>
              </w:rPr>
              <w:t xml:space="preserve">: </w:t>
            </w:r>
            <w:r>
              <w:rPr>
                <w:sz w:val="18"/>
                <w:szCs w:val="18"/>
              </w:rPr>
              <w:t>Mediation Agreements</w:t>
            </w:r>
          </w:p>
        </w:tc>
        <w:tc>
          <w:tcPr>
            <w:tcW w:w="446" w:type="pct"/>
          </w:tcPr>
          <w:p w14:paraId="40BA119B" w14:textId="35E28F32" w:rsidR="00B75452" w:rsidRPr="007D64F6" w:rsidRDefault="00B75452"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2005-</w:t>
            </w:r>
            <w:r w:rsidR="00531629">
              <w:rPr>
                <w:sz w:val="18"/>
                <w:szCs w:val="18"/>
              </w:rPr>
              <w:t>20</w:t>
            </w:r>
            <w:r w:rsidRPr="007D64F6">
              <w:rPr>
                <w:sz w:val="18"/>
                <w:szCs w:val="18"/>
              </w:rPr>
              <w:t>06</w:t>
            </w:r>
          </w:p>
          <w:p w14:paraId="3D424365" w14:textId="77777777" w:rsidR="00B75452" w:rsidRPr="007D64F6" w:rsidRDefault="00B75452"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Baseline</w:t>
            </w:r>
          </w:p>
        </w:tc>
        <w:tc>
          <w:tcPr>
            <w:tcW w:w="446" w:type="pct"/>
          </w:tcPr>
          <w:p w14:paraId="32205C99" w14:textId="3AE7AC2C" w:rsidR="00B75452" w:rsidRPr="007D64F6" w:rsidRDefault="00B75452"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2019-</w:t>
            </w:r>
            <w:r w:rsidR="00531629">
              <w:rPr>
                <w:sz w:val="18"/>
                <w:szCs w:val="18"/>
              </w:rPr>
              <w:t>20</w:t>
            </w:r>
            <w:r w:rsidRPr="007D64F6">
              <w:rPr>
                <w:sz w:val="18"/>
                <w:szCs w:val="18"/>
              </w:rPr>
              <w:t>20</w:t>
            </w:r>
          </w:p>
          <w:p w14:paraId="1E8D2A6F" w14:textId="77777777" w:rsidR="00B75452" w:rsidRPr="007D64F6" w:rsidRDefault="00B75452"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Data</w:t>
            </w:r>
          </w:p>
        </w:tc>
        <w:tc>
          <w:tcPr>
            <w:tcW w:w="485" w:type="pct"/>
          </w:tcPr>
          <w:p w14:paraId="28A1976D" w14:textId="71B0CBA6" w:rsidR="00B75452" w:rsidRPr="007D64F6" w:rsidRDefault="00B75452"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2020-</w:t>
            </w:r>
            <w:r w:rsidR="00531629">
              <w:rPr>
                <w:sz w:val="18"/>
                <w:szCs w:val="18"/>
              </w:rPr>
              <w:t>20</w:t>
            </w:r>
            <w:r w:rsidRPr="007D64F6">
              <w:rPr>
                <w:sz w:val="18"/>
                <w:szCs w:val="18"/>
              </w:rPr>
              <w:t>21</w:t>
            </w:r>
          </w:p>
          <w:p w14:paraId="5A3B05CA" w14:textId="77777777" w:rsidR="00B75452" w:rsidRPr="007D64F6" w:rsidRDefault="00B75452"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Proposed Target</w:t>
            </w:r>
          </w:p>
        </w:tc>
        <w:tc>
          <w:tcPr>
            <w:tcW w:w="485" w:type="pct"/>
          </w:tcPr>
          <w:p w14:paraId="255A0461" w14:textId="555E1525" w:rsidR="00B75452" w:rsidRPr="007D64F6" w:rsidRDefault="00B75452"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2021-</w:t>
            </w:r>
            <w:r w:rsidR="00531629">
              <w:rPr>
                <w:sz w:val="18"/>
                <w:szCs w:val="18"/>
              </w:rPr>
              <w:t>20</w:t>
            </w:r>
            <w:r w:rsidRPr="007D64F6">
              <w:rPr>
                <w:sz w:val="18"/>
                <w:szCs w:val="18"/>
              </w:rPr>
              <w:t>22</w:t>
            </w:r>
          </w:p>
          <w:p w14:paraId="0966C998" w14:textId="77777777" w:rsidR="00B75452" w:rsidRPr="007D64F6" w:rsidRDefault="00B75452"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Proposed Target</w:t>
            </w:r>
          </w:p>
        </w:tc>
        <w:tc>
          <w:tcPr>
            <w:tcW w:w="485" w:type="pct"/>
          </w:tcPr>
          <w:p w14:paraId="47508337" w14:textId="55D2CAEB" w:rsidR="00B75452" w:rsidRPr="007D64F6" w:rsidRDefault="00B75452"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2022-</w:t>
            </w:r>
            <w:r w:rsidR="00531629">
              <w:rPr>
                <w:sz w:val="18"/>
                <w:szCs w:val="18"/>
              </w:rPr>
              <w:t>20</w:t>
            </w:r>
            <w:r w:rsidRPr="007D64F6">
              <w:rPr>
                <w:sz w:val="18"/>
                <w:szCs w:val="18"/>
              </w:rPr>
              <w:t>23 Proposed Target</w:t>
            </w:r>
          </w:p>
        </w:tc>
        <w:tc>
          <w:tcPr>
            <w:tcW w:w="485" w:type="pct"/>
          </w:tcPr>
          <w:p w14:paraId="76C6BB41" w14:textId="57827B77" w:rsidR="00B75452" w:rsidRPr="007D64F6" w:rsidRDefault="00B75452"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2023-</w:t>
            </w:r>
            <w:r w:rsidR="00531629">
              <w:rPr>
                <w:sz w:val="18"/>
                <w:szCs w:val="18"/>
              </w:rPr>
              <w:t>20</w:t>
            </w:r>
            <w:r w:rsidRPr="007D64F6">
              <w:rPr>
                <w:sz w:val="18"/>
                <w:szCs w:val="18"/>
              </w:rPr>
              <w:t>24 Proposed Target</w:t>
            </w:r>
          </w:p>
        </w:tc>
        <w:tc>
          <w:tcPr>
            <w:tcW w:w="485" w:type="pct"/>
          </w:tcPr>
          <w:p w14:paraId="410AAA7E" w14:textId="566D1C4D" w:rsidR="00B75452" w:rsidRPr="007D64F6" w:rsidRDefault="00B75452"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2024-</w:t>
            </w:r>
            <w:r w:rsidR="00531629">
              <w:rPr>
                <w:sz w:val="18"/>
                <w:szCs w:val="18"/>
              </w:rPr>
              <w:t>20</w:t>
            </w:r>
            <w:r w:rsidRPr="007D64F6">
              <w:rPr>
                <w:sz w:val="18"/>
                <w:szCs w:val="18"/>
              </w:rPr>
              <w:t>25 Proposed Target</w:t>
            </w:r>
          </w:p>
        </w:tc>
        <w:tc>
          <w:tcPr>
            <w:tcW w:w="485" w:type="pct"/>
          </w:tcPr>
          <w:p w14:paraId="513B839B" w14:textId="5E3959EF" w:rsidR="00B75452" w:rsidRPr="007D64F6" w:rsidRDefault="00B75452" w:rsidP="00D754C8">
            <w:pPr>
              <w:spacing w:after="0"/>
              <w:jc w:val="center"/>
              <w:cnfStyle w:val="100000000000" w:firstRow="1" w:lastRow="0" w:firstColumn="0" w:lastColumn="0" w:oddVBand="0" w:evenVBand="0" w:oddHBand="0" w:evenHBand="0" w:firstRowFirstColumn="0" w:firstRowLastColumn="0" w:lastRowFirstColumn="0" w:lastRowLastColumn="0"/>
              <w:rPr>
                <w:sz w:val="18"/>
                <w:szCs w:val="18"/>
              </w:rPr>
            </w:pPr>
            <w:r w:rsidRPr="007D64F6">
              <w:rPr>
                <w:sz w:val="18"/>
                <w:szCs w:val="18"/>
              </w:rPr>
              <w:t>2025-</w:t>
            </w:r>
            <w:r w:rsidR="00531629">
              <w:rPr>
                <w:sz w:val="18"/>
                <w:szCs w:val="18"/>
              </w:rPr>
              <w:t>20</w:t>
            </w:r>
            <w:r w:rsidRPr="007D64F6">
              <w:rPr>
                <w:sz w:val="18"/>
                <w:szCs w:val="18"/>
              </w:rPr>
              <w:t>26 Proposed Target</w:t>
            </w:r>
          </w:p>
        </w:tc>
      </w:tr>
      <w:tr w:rsidR="00B75452" w14:paraId="3F7BDE73" w14:textId="77777777" w:rsidTr="00D754C8">
        <w:trPr>
          <w:cnfStyle w:val="000000100000" w:firstRow="0" w:lastRow="0" w:firstColumn="0" w:lastColumn="0" w:oddVBand="0" w:evenVBand="0" w:oddHBand="1" w:evenHBand="0" w:firstRowFirstColumn="0" w:firstRowLastColumn="0" w:lastRowFirstColumn="0" w:lastRowLastColumn="0"/>
          <w:cantSplit/>
          <w:trHeight w:val="432"/>
        </w:trPr>
        <w:tc>
          <w:tcPr>
            <w:cnfStyle w:val="001000000000" w:firstRow="0" w:lastRow="0" w:firstColumn="1" w:lastColumn="0" w:oddVBand="0" w:evenVBand="0" w:oddHBand="0" w:evenHBand="0" w:firstRowFirstColumn="0" w:firstRowLastColumn="0" w:lastRowFirstColumn="0" w:lastRowLastColumn="0"/>
            <w:tcW w:w="1199" w:type="pct"/>
          </w:tcPr>
          <w:p w14:paraId="486B2D65" w14:textId="77777777" w:rsidR="00B75452" w:rsidRPr="000E5E30" w:rsidRDefault="00B75452" w:rsidP="00B75452">
            <w:pPr>
              <w:spacing w:after="0"/>
              <w:jc w:val="center"/>
              <w:rPr>
                <w:b w:val="0"/>
                <w:bCs w:val="0"/>
              </w:rPr>
            </w:pPr>
            <w:r w:rsidRPr="000E5E30">
              <w:rPr>
                <w:b w:val="0"/>
                <w:bCs w:val="0"/>
              </w:rPr>
              <w:t>Percentage of mediations held that resulted in mediation agreements</w:t>
            </w:r>
          </w:p>
        </w:tc>
        <w:tc>
          <w:tcPr>
            <w:tcW w:w="446" w:type="pct"/>
            <w:vAlign w:val="center"/>
          </w:tcPr>
          <w:p w14:paraId="52B967F6" w14:textId="6F06628D" w:rsidR="00B75452" w:rsidRDefault="00B75452" w:rsidP="00B75452">
            <w:pPr>
              <w:spacing w:after="0"/>
              <w:jc w:val="center"/>
              <w:cnfStyle w:val="000000100000" w:firstRow="0" w:lastRow="0" w:firstColumn="0" w:lastColumn="0" w:oddVBand="0" w:evenVBand="0" w:oddHBand="1" w:evenHBand="0" w:firstRowFirstColumn="0" w:firstRowLastColumn="0" w:lastRowFirstColumn="0" w:lastRowLastColumn="0"/>
            </w:pPr>
            <w:r>
              <w:t>83.50%</w:t>
            </w:r>
          </w:p>
        </w:tc>
        <w:tc>
          <w:tcPr>
            <w:tcW w:w="446" w:type="pct"/>
            <w:vAlign w:val="center"/>
          </w:tcPr>
          <w:p w14:paraId="2DD63444" w14:textId="03148C68" w:rsidR="00B75452" w:rsidRDefault="00B75452" w:rsidP="00B75452">
            <w:pPr>
              <w:spacing w:after="0"/>
              <w:jc w:val="center"/>
              <w:cnfStyle w:val="000000100000" w:firstRow="0" w:lastRow="0" w:firstColumn="0" w:lastColumn="0" w:oddVBand="0" w:evenVBand="0" w:oddHBand="1" w:evenHBand="0" w:firstRowFirstColumn="0" w:firstRowLastColumn="0" w:lastRowFirstColumn="0" w:lastRowLastColumn="0"/>
            </w:pPr>
            <w:r>
              <w:t>80.00%</w:t>
            </w:r>
          </w:p>
        </w:tc>
        <w:tc>
          <w:tcPr>
            <w:tcW w:w="485" w:type="pct"/>
            <w:vAlign w:val="center"/>
          </w:tcPr>
          <w:p w14:paraId="4E9BCF80" w14:textId="465B2807" w:rsidR="00B75452" w:rsidRDefault="00B75452" w:rsidP="00B75452">
            <w:pPr>
              <w:spacing w:after="0"/>
              <w:jc w:val="center"/>
              <w:cnfStyle w:val="000000100000" w:firstRow="0" w:lastRow="0" w:firstColumn="0" w:lastColumn="0" w:oddVBand="0" w:evenVBand="0" w:oddHBand="1" w:evenHBand="0" w:firstRowFirstColumn="0" w:firstRowLastColumn="0" w:lastRowFirstColumn="0" w:lastRowLastColumn="0"/>
            </w:pPr>
            <w:r>
              <w:rPr>
                <w:rFonts w:eastAsia="Calibri" w:cs="Arial"/>
              </w:rPr>
              <w:t>80</w:t>
            </w:r>
            <w:r w:rsidRPr="262B9DCC">
              <w:rPr>
                <w:rFonts w:eastAsia="Calibri" w:cs="Arial"/>
              </w:rPr>
              <w:t>.00% - 87.00%</w:t>
            </w:r>
          </w:p>
        </w:tc>
        <w:tc>
          <w:tcPr>
            <w:tcW w:w="485" w:type="pct"/>
            <w:vAlign w:val="center"/>
          </w:tcPr>
          <w:p w14:paraId="4A744EE5" w14:textId="6451ECA6" w:rsidR="00B75452" w:rsidRDefault="00B75452" w:rsidP="00B75452">
            <w:pPr>
              <w:spacing w:after="0"/>
              <w:jc w:val="center"/>
              <w:cnfStyle w:val="000000100000" w:firstRow="0" w:lastRow="0" w:firstColumn="0" w:lastColumn="0" w:oddVBand="0" w:evenVBand="0" w:oddHBand="1" w:evenHBand="0" w:firstRowFirstColumn="0" w:firstRowLastColumn="0" w:lastRowFirstColumn="0" w:lastRowLastColumn="0"/>
            </w:pPr>
            <w:r w:rsidRPr="262B9DCC">
              <w:rPr>
                <w:rFonts w:eastAsia="Calibri" w:cs="Arial"/>
              </w:rPr>
              <w:t>8</w:t>
            </w:r>
            <w:r>
              <w:rPr>
                <w:rFonts w:eastAsia="Calibri" w:cs="Arial"/>
              </w:rPr>
              <w:t>1</w:t>
            </w:r>
            <w:r w:rsidRPr="262B9DCC">
              <w:rPr>
                <w:rFonts w:eastAsia="Calibri" w:cs="Arial"/>
              </w:rPr>
              <w:t>.00% - 88.00%</w:t>
            </w:r>
          </w:p>
        </w:tc>
        <w:tc>
          <w:tcPr>
            <w:tcW w:w="485" w:type="pct"/>
            <w:vAlign w:val="center"/>
          </w:tcPr>
          <w:p w14:paraId="6B038885" w14:textId="69AB64AA" w:rsidR="00B75452" w:rsidRDefault="00B75452" w:rsidP="00B75452">
            <w:pPr>
              <w:spacing w:after="0"/>
              <w:jc w:val="center"/>
              <w:cnfStyle w:val="000000100000" w:firstRow="0" w:lastRow="0" w:firstColumn="0" w:lastColumn="0" w:oddVBand="0" w:evenVBand="0" w:oddHBand="1" w:evenHBand="0" w:firstRowFirstColumn="0" w:firstRowLastColumn="0" w:lastRowFirstColumn="0" w:lastRowLastColumn="0"/>
            </w:pPr>
            <w:r w:rsidRPr="262B9DCC">
              <w:rPr>
                <w:rFonts w:eastAsia="Calibri" w:cs="Arial"/>
              </w:rPr>
              <w:t>8</w:t>
            </w:r>
            <w:r>
              <w:rPr>
                <w:rFonts w:eastAsia="Calibri" w:cs="Arial"/>
              </w:rPr>
              <w:t>2</w:t>
            </w:r>
            <w:r w:rsidRPr="262B9DCC">
              <w:rPr>
                <w:rFonts w:eastAsia="Calibri" w:cs="Arial"/>
              </w:rPr>
              <w:t>.00% - 89.00%</w:t>
            </w:r>
          </w:p>
        </w:tc>
        <w:tc>
          <w:tcPr>
            <w:tcW w:w="485" w:type="pct"/>
            <w:vAlign w:val="center"/>
          </w:tcPr>
          <w:p w14:paraId="019954A6" w14:textId="492B57B0" w:rsidR="00B75452" w:rsidRDefault="00B75452" w:rsidP="00B75452">
            <w:pPr>
              <w:spacing w:after="0"/>
              <w:jc w:val="center"/>
              <w:cnfStyle w:val="000000100000" w:firstRow="0" w:lastRow="0" w:firstColumn="0" w:lastColumn="0" w:oddVBand="0" w:evenVBand="0" w:oddHBand="1" w:evenHBand="0" w:firstRowFirstColumn="0" w:firstRowLastColumn="0" w:lastRowFirstColumn="0" w:lastRowLastColumn="0"/>
            </w:pPr>
            <w:r>
              <w:t>83.00% - 90.00%</w:t>
            </w:r>
          </w:p>
        </w:tc>
        <w:tc>
          <w:tcPr>
            <w:tcW w:w="485" w:type="pct"/>
            <w:vAlign w:val="center"/>
          </w:tcPr>
          <w:p w14:paraId="7251215E" w14:textId="261168BE" w:rsidR="00B75452" w:rsidRDefault="00B75452" w:rsidP="00B75452">
            <w:pPr>
              <w:spacing w:after="0"/>
              <w:jc w:val="center"/>
              <w:cnfStyle w:val="000000100000" w:firstRow="0" w:lastRow="0" w:firstColumn="0" w:lastColumn="0" w:oddVBand="0" w:evenVBand="0" w:oddHBand="1" w:evenHBand="0" w:firstRowFirstColumn="0" w:firstRowLastColumn="0" w:lastRowFirstColumn="0" w:lastRowLastColumn="0"/>
            </w:pPr>
            <w:r>
              <w:t>84.00% - 91.00%</w:t>
            </w:r>
          </w:p>
        </w:tc>
        <w:tc>
          <w:tcPr>
            <w:tcW w:w="485" w:type="pct"/>
            <w:vAlign w:val="center"/>
          </w:tcPr>
          <w:p w14:paraId="2D7A14C7" w14:textId="6EB2FA45" w:rsidR="00B75452" w:rsidRDefault="00B75452" w:rsidP="00B75452">
            <w:pPr>
              <w:spacing w:after="0"/>
              <w:jc w:val="center"/>
              <w:cnfStyle w:val="000000100000" w:firstRow="0" w:lastRow="0" w:firstColumn="0" w:lastColumn="0" w:oddVBand="0" w:evenVBand="0" w:oddHBand="1" w:evenHBand="0" w:firstRowFirstColumn="0" w:firstRowLastColumn="0" w:lastRowFirstColumn="0" w:lastRowLastColumn="0"/>
            </w:pPr>
            <w:r>
              <w:t>85.00% - 91.00%</w:t>
            </w:r>
          </w:p>
        </w:tc>
      </w:tr>
    </w:tbl>
    <w:p w14:paraId="6C6008B9" w14:textId="74CA0D59" w:rsidR="00CF4E24" w:rsidRDefault="00CF4E24" w:rsidP="00CF4E24">
      <w:pPr>
        <w:pStyle w:val="Heading3"/>
        <w:rPr>
          <w:rFonts w:eastAsiaTheme="minorHAnsi"/>
        </w:rPr>
      </w:pPr>
      <w:r w:rsidRPr="00CF4E24">
        <w:rPr>
          <w:rFonts w:eastAsiaTheme="minorHAnsi"/>
        </w:rPr>
        <w:t xml:space="preserve">Option </w:t>
      </w:r>
      <w:r>
        <w:rPr>
          <w:rFonts w:eastAsiaTheme="minorHAnsi"/>
        </w:rPr>
        <w:t>B</w:t>
      </w:r>
      <w:r w:rsidRPr="00CF4E24">
        <w:rPr>
          <w:rFonts w:eastAsiaTheme="minorHAnsi"/>
        </w:rPr>
        <w:t xml:space="preserve"> Rationale</w:t>
      </w:r>
    </w:p>
    <w:p w14:paraId="6C5DBBD4" w14:textId="6E0E0B74" w:rsidR="00B75452" w:rsidRPr="008D3B13" w:rsidRDefault="00B75452" w:rsidP="00CD095E">
      <w:pPr>
        <w:pStyle w:val="ListParagraph"/>
        <w:numPr>
          <w:ilvl w:val="0"/>
          <w:numId w:val="22"/>
        </w:numPr>
      </w:pPr>
      <w:r w:rsidRPr="008D3B13">
        <w:t>This option is more rigorous</w:t>
      </w:r>
      <w:r>
        <w:t xml:space="preserve"> and allows the state to maintain the 2019-</w:t>
      </w:r>
      <w:r w:rsidR="00531629">
        <w:t>20</w:t>
      </w:r>
      <w:r>
        <w:t>20 performance while recovering from the impact of the pandemic</w:t>
      </w:r>
      <w:r w:rsidRPr="008D3B13">
        <w:t>.</w:t>
      </w:r>
    </w:p>
    <w:p w14:paraId="673B6B71" w14:textId="7A648062" w:rsidR="00B75452" w:rsidRDefault="00B75452" w:rsidP="00CD095E">
      <w:pPr>
        <w:pStyle w:val="ListParagraph"/>
        <w:numPr>
          <w:ilvl w:val="0"/>
          <w:numId w:val="22"/>
        </w:numPr>
      </w:pPr>
      <w:r w:rsidRPr="008D3B13">
        <w:t>The targets will increase by 1% each to year to end above the 83.5% baseline.</w:t>
      </w:r>
    </w:p>
    <w:p w14:paraId="5F51CAD9" w14:textId="02A27A9A" w:rsidR="002B213C" w:rsidRPr="00845CC5" w:rsidRDefault="00B75452" w:rsidP="00CD095E">
      <w:pPr>
        <w:pStyle w:val="ListParagraph"/>
        <w:numPr>
          <w:ilvl w:val="0"/>
          <w:numId w:val="22"/>
        </w:numPr>
        <w:rPr>
          <w:rFonts w:cstheme="minorHAnsi"/>
        </w:rPr>
      </w:pPr>
      <w:r w:rsidRPr="00531629">
        <w:rPr>
          <w:rStyle w:val="normaltextrun"/>
          <w:rFonts w:cs="Arial"/>
          <w:color w:val="000000"/>
        </w:rPr>
        <w:t>In comparison to Ohio’s 2019-</w:t>
      </w:r>
      <w:r w:rsidR="00531629">
        <w:rPr>
          <w:rStyle w:val="normaltextrun"/>
          <w:rFonts w:cs="Arial"/>
          <w:color w:val="000000"/>
        </w:rPr>
        <w:t>20</w:t>
      </w:r>
      <w:r w:rsidRPr="00531629">
        <w:rPr>
          <w:rStyle w:val="normaltextrun"/>
          <w:rFonts w:cs="Arial"/>
          <w:color w:val="000000"/>
        </w:rPr>
        <w:t>20 performance, m</w:t>
      </w:r>
      <w:r w:rsidRPr="00531629">
        <w:t>eeting the final target range of 85%-91% w</w:t>
      </w:r>
      <w:r w:rsidR="00531629">
        <w:t>ould</w:t>
      </w:r>
      <w:r w:rsidRPr="00531629">
        <w:t xml:space="preserve"> require </w:t>
      </w:r>
      <w:r w:rsidRPr="00531629">
        <w:rPr>
          <w:b/>
          <w:bCs/>
        </w:rPr>
        <w:t>5</w:t>
      </w:r>
      <w:r w:rsidRPr="00531629">
        <w:t xml:space="preserve"> more mediations to</w:t>
      </w:r>
      <w:r w:rsidRPr="008D3B13">
        <w:t xml:space="preserve"> result in mediation agreements.</w:t>
      </w:r>
    </w:p>
    <w:sectPr w:rsidR="002B213C" w:rsidRPr="00845CC5" w:rsidSect="00683CF6">
      <w:headerReference w:type="default" r:id="rId13"/>
      <w:footerReference w:type="default" r:id="rId14"/>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6840" w14:textId="77777777" w:rsidR="00E408F6" w:rsidRDefault="00E408F6" w:rsidP="00C46BFB">
      <w:r>
        <w:separator/>
      </w:r>
    </w:p>
  </w:endnote>
  <w:endnote w:type="continuationSeparator" w:id="0">
    <w:p w14:paraId="3CF9797D" w14:textId="77777777" w:rsidR="00E408F6" w:rsidRDefault="00E408F6" w:rsidP="00C46BFB">
      <w:r>
        <w:continuationSeparator/>
      </w:r>
    </w:p>
  </w:endnote>
  <w:endnote w:type="continuationNotice" w:id="1">
    <w:p w14:paraId="7A9AAE27" w14:textId="77777777" w:rsidR="00E408F6" w:rsidRDefault="00E408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C546" w14:textId="4CDA71C3" w:rsidR="000B706D" w:rsidRDefault="006A2724" w:rsidP="000B706D">
    <w:pPr>
      <w:rPr>
        <w:rFonts w:cstheme="minorHAnsi"/>
        <w:color w:val="FFFFFF" w:themeColor="background1"/>
        <w:sz w:val="20"/>
        <w:szCs w:val="20"/>
      </w:rPr>
    </w:pPr>
    <w:r>
      <w:rPr>
        <w:noProof/>
      </w:rPr>
      <w:drawing>
        <wp:anchor distT="0" distB="0" distL="114300" distR="114300" simplePos="0" relativeHeight="251660800" behindDoc="1" locked="0" layoutInCell="1" allowOverlap="1" wp14:anchorId="60E911B2" wp14:editId="5D79AF7B">
          <wp:simplePos x="0" y="0"/>
          <wp:positionH relativeFrom="page">
            <wp:posOffset>-20759</wp:posOffset>
          </wp:positionH>
          <wp:positionV relativeFrom="page">
            <wp:posOffset>9142631</wp:posOffset>
          </wp:positionV>
          <wp:extent cx="7781788" cy="101038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81788" cy="1010380"/>
                  </a:xfrm>
                  <a:prstGeom prst="rect">
                    <a:avLst/>
                  </a:prstGeom>
                </pic:spPr>
              </pic:pic>
            </a:graphicData>
          </a:graphic>
          <wp14:sizeRelH relativeFrom="page">
            <wp14:pctWidth>0</wp14:pctWidth>
          </wp14:sizeRelH>
          <wp14:sizeRelV relativeFrom="page">
            <wp14:pctHeight>0</wp14:pctHeight>
          </wp14:sizeRelV>
        </wp:anchor>
      </w:drawing>
    </w:r>
  </w:p>
  <w:p w14:paraId="545624C5" w14:textId="481AF29E" w:rsidR="000B706D" w:rsidRPr="00F670A5" w:rsidRDefault="000B706D" w:rsidP="000B706D">
    <w:pPr>
      <w:rPr>
        <w:rFonts w:cstheme="minorHAnsi"/>
        <w:color w:val="FFFFFF" w:themeColor="background1"/>
        <w:sz w:val="20"/>
        <w:szCs w:val="20"/>
      </w:rPr>
    </w:pPr>
    <w:r w:rsidRPr="00F670A5">
      <w:rPr>
        <w:rFonts w:cstheme="minorHAnsi"/>
        <w:color w:val="FFFFFF" w:themeColor="background1"/>
        <w:sz w:val="20"/>
        <w:szCs w:val="20"/>
      </w:rPr>
      <w:t xml:space="preserve">Page </w:t>
    </w:r>
    <w:r w:rsidRPr="00F670A5">
      <w:rPr>
        <w:rFonts w:cstheme="minorHAnsi"/>
        <w:color w:val="FFFFFF" w:themeColor="background1"/>
        <w:sz w:val="20"/>
        <w:szCs w:val="20"/>
      </w:rPr>
      <w:fldChar w:fldCharType="begin"/>
    </w:r>
    <w:r w:rsidRPr="00F670A5">
      <w:rPr>
        <w:rFonts w:cstheme="minorHAnsi"/>
        <w:color w:val="FFFFFF" w:themeColor="background1"/>
        <w:sz w:val="20"/>
        <w:szCs w:val="20"/>
      </w:rPr>
      <w:instrText xml:space="preserve"> PAGE   \* MERGEFORMAT </w:instrText>
    </w:r>
    <w:r w:rsidRPr="00F670A5">
      <w:rPr>
        <w:rFonts w:cstheme="minorHAnsi"/>
        <w:color w:val="FFFFFF" w:themeColor="background1"/>
        <w:sz w:val="20"/>
        <w:szCs w:val="20"/>
      </w:rPr>
      <w:fldChar w:fldCharType="separate"/>
    </w:r>
    <w:r>
      <w:rPr>
        <w:rFonts w:cstheme="minorHAnsi"/>
        <w:color w:val="FFFFFF" w:themeColor="background1"/>
        <w:sz w:val="20"/>
        <w:szCs w:val="20"/>
      </w:rPr>
      <w:t>2</w:t>
    </w:r>
    <w:r w:rsidRPr="00F670A5">
      <w:rPr>
        <w:rFonts w:cstheme="minorHAnsi"/>
        <w:noProof/>
        <w:color w:val="FFFFFF" w:themeColor="background1"/>
        <w:sz w:val="20"/>
        <w:szCs w:val="20"/>
      </w:rPr>
      <w:fldChar w:fldCharType="end"/>
    </w:r>
    <w:r w:rsidRPr="00F670A5">
      <w:rPr>
        <w:rFonts w:cstheme="minorHAnsi"/>
        <w:color w:val="FFFFFF" w:themeColor="background1"/>
        <w:sz w:val="20"/>
        <w:szCs w:val="20"/>
      </w:rPr>
      <w:t xml:space="preserve"> | </w:t>
    </w:r>
    <w:r>
      <w:rPr>
        <w:rFonts w:cstheme="minorHAnsi"/>
        <w:color w:val="FFFFFF" w:themeColor="background1"/>
        <w:sz w:val="20"/>
        <w:szCs w:val="20"/>
      </w:rPr>
      <w:t>Indicator 16 Fact Sheet</w:t>
    </w:r>
    <w:r w:rsidRPr="00F670A5">
      <w:rPr>
        <w:rFonts w:cstheme="minorHAnsi"/>
        <w:color w:val="FFFFFF" w:themeColor="background1"/>
        <w:sz w:val="20"/>
        <w:szCs w:val="20"/>
      </w:rPr>
      <w:t xml:space="preserve"> | </w:t>
    </w:r>
    <w:r>
      <w:rPr>
        <w:rFonts w:cstheme="minorHAnsi"/>
        <w:color w:val="FFFFFF" w:themeColor="background1"/>
        <w:sz w:val="20"/>
        <w:szCs w:val="20"/>
      </w:rPr>
      <w:t>September</w:t>
    </w:r>
    <w:r w:rsidRPr="00F670A5">
      <w:rPr>
        <w:rFonts w:cstheme="minorHAnsi"/>
        <w:color w:val="FFFFFF" w:themeColor="background1"/>
        <w:sz w:val="20"/>
        <w:szCs w:val="20"/>
      </w:rPr>
      <w:t xml:space="preserve"> 2021</w:t>
    </w:r>
  </w:p>
  <w:p w14:paraId="274E5971" w14:textId="707591CC" w:rsidR="00220677" w:rsidRPr="000D6225" w:rsidRDefault="00220677" w:rsidP="00F06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36F3F" w14:textId="77777777" w:rsidR="00E408F6" w:rsidRDefault="00E408F6" w:rsidP="00C46BFB">
      <w:r>
        <w:separator/>
      </w:r>
    </w:p>
  </w:footnote>
  <w:footnote w:type="continuationSeparator" w:id="0">
    <w:p w14:paraId="760C31A7" w14:textId="77777777" w:rsidR="00E408F6" w:rsidRDefault="00E408F6" w:rsidP="00C46BFB">
      <w:r>
        <w:continuationSeparator/>
      </w:r>
    </w:p>
  </w:footnote>
  <w:footnote w:type="continuationNotice" w:id="1">
    <w:p w14:paraId="58D62409" w14:textId="77777777" w:rsidR="00E408F6" w:rsidRDefault="00E408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ABD0D" w14:textId="42F6EBEA" w:rsidR="00220677" w:rsidRPr="002A42BD" w:rsidRDefault="00C268F3" w:rsidP="002A42BD">
    <w:pPr>
      <w:pStyle w:val="Header"/>
      <w:tabs>
        <w:tab w:val="clear" w:pos="4680"/>
        <w:tab w:val="center" w:pos="3600"/>
        <w:tab w:val="right" w:pos="9000"/>
      </w:tabs>
      <w:ind w:left="2970" w:hanging="2970"/>
      <w:jc w:val="right"/>
      <w:rPr>
        <w:rFonts w:cs="Arial"/>
        <w:b/>
        <w:sz w:val="24"/>
        <w:szCs w:val="24"/>
      </w:rPr>
    </w:pPr>
    <w:r>
      <w:rPr>
        <w:noProof/>
      </w:rPr>
      <w:drawing>
        <wp:anchor distT="0" distB="0" distL="114300" distR="114300" simplePos="0" relativeHeight="251656704" behindDoc="1" locked="0" layoutInCell="1" allowOverlap="1" wp14:anchorId="5C7BBFED" wp14:editId="54EEAF94">
          <wp:simplePos x="0" y="0"/>
          <wp:positionH relativeFrom="page">
            <wp:posOffset>-9525</wp:posOffset>
          </wp:positionH>
          <wp:positionV relativeFrom="paragraph">
            <wp:posOffset>-466725</wp:posOffset>
          </wp:positionV>
          <wp:extent cx="7771086" cy="1176728"/>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71086" cy="1176728"/>
                  </a:xfrm>
                  <a:prstGeom prst="rect">
                    <a:avLst/>
                  </a:prstGeom>
                </pic:spPr>
              </pic:pic>
            </a:graphicData>
          </a:graphic>
          <wp14:sizeRelH relativeFrom="page">
            <wp14:pctWidth>0</wp14:pctWidth>
          </wp14:sizeRelH>
          <wp14:sizeRelV relativeFrom="page">
            <wp14:pctHeight>0</wp14:pctHeight>
          </wp14:sizeRelV>
        </wp:anchor>
      </w:drawing>
    </w:r>
    <w:r w:rsidR="00220677">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06B8"/>
    <w:multiLevelType w:val="hybridMultilevel"/>
    <w:tmpl w:val="6DF615F2"/>
    <w:lvl w:ilvl="0" w:tplc="61C2BDDC">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46CD2"/>
    <w:multiLevelType w:val="hybridMultilevel"/>
    <w:tmpl w:val="87DA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0656A"/>
    <w:multiLevelType w:val="hybridMultilevel"/>
    <w:tmpl w:val="22B61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2705A"/>
    <w:multiLevelType w:val="hybridMultilevel"/>
    <w:tmpl w:val="8B9677A6"/>
    <w:lvl w:ilvl="0" w:tplc="9AAEA398">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E3D06"/>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46331"/>
    <w:multiLevelType w:val="hybridMultilevel"/>
    <w:tmpl w:val="60A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C0CBF"/>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B461C"/>
    <w:multiLevelType w:val="hybridMultilevel"/>
    <w:tmpl w:val="CE0413EA"/>
    <w:lvl w:ilvl="0" w:tplc="F4F275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83928"/>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F29F9"/>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F55D14"/>
    <w:multiLevelType w:val="hybridMultilevel"/>
    <w:tmpl w:val="FCEA3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8F16FA"/>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9318E"/>
    <w:multiLevelType w:val="hybridMultilevel"/>
    <w:tmpl w:val="D29A1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26EA0"/>
    <w:multiLevelType w:val="hybridMultilevel"/>
    <w:tmpl w:val="8C22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D07E9"/>
    <w:multiLevelType w:val="hybridMultilevel"/>
    <w:tmpl w:val="37CAC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032BF"/>
    <w:multiLevelType w:val="hybridMultilevel"/>
    <w:tmpl w:val="6E10C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612B49"/>
    <w:multiLevelType w:val="hybridMultilevel"/>
    <w:tmpl w:val="D5D0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C2B34"/>
    <w:multiLevelType w:val="hybridMultilevel"/>
    <w:tmpl w:val="5BA2B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D6CC6"/>
    <w:multiLevelType w:val="hybridMultilevel"/>
    <w:tmpl w:val="CB3E9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C639AF"/>
    <w:multiLevelType w:val="hybridMultilevel"/>
    <w:tmpl w:val="E14E27F2"/>
    <w:lvl w:ilvl="0" w:tplc="CB74D53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4262CA"/>
    <w:multiLevelType w:val="hybridMultilevel"/>
    <w:tmpl w:val="5F2EF8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282799"/>
    <w:multiLevelType w:val="hybridMultilevel"/>
    <w:tmpl w:val="802C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C1C3E"/>
    <w:multiLevelType w:val="hybridMultilevel"/>
    <w:tmpl w:val="7144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A42354"/>
    <w:multiLevelType w:val="hybridMultilevel"/>
    <w:tmpl w:val="9B04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8"/>
  </w:num>
  <w:num w:numId="3">
    <w:abstractNumId w:val="11"/>
  </w:num>
  <w:num w:numId="4">
    <w:abstractNumId w:val="16"/>
  </w:num>
  <w:num w:numId="5">
    <w:abstractNumId w:val="4"/>
  </w:num>
  <w:num w:numId="6">
    <w:abstractNumId w:val="15"/>
  </w:num>
  <w:num w:numId="7">
    <w:abstractNumId w:val="9"/>
  </w:num>
  <w:num w:numId="8">
    <w:abstractNumId w:val="18"/>
  </w:num>
  <w:num w:numId="9">
    <w:abstractNumId w:val="6"/>
  </w:num>
  <w:num w:numId="10">
    <w:abstractNumId w:val="10"/>
  </w:num>
  <w:num w:numId="11">
    <w:abstractNumId w:val="2"/>
  </w:num>
  <w:num w:numId="12">
    <w:abstractNumId w:val="22"/>
  </w:num>
  <w:num w:numId="13">
    <w:abstractNumId w:val="12"/>
  </w:num>
  <w:num w:numId="14">
    <w:abstractNumId w:val="0"/>
  </w:num>
  <w:num w:numId="15">
    <w:abstractNumId w:val="3"/>
  </w:num>
  <w:num w:numId="16">
    <w:abstractNumId w:val="14"/>
  </w:num>
  <w:num w:numId="17">
    <w:abstractNumId w:val="5"/>
  </w:num>
  <w:num w:numId="18">
    <w:abstractNumId w:val="1"/>
  </w:num>
  <w:num w:numId="19">
    <w:abstractNumId w:val="20"/>
  </w:num>
  <w:num w:numId="20">
    <w:abstractNumId w:val="19"/>
  </w:num>
  <w:num w:numId="21">
    <w:abstractNumId w:val="17"/>
  </w:num>
  <w:num w:numId="22">
    <w:abstractNumId w:val="21"/>
  </w:num>
  <w:num w:numId="23">
    <w:abstractNumId w:val="7"/>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FB"/>
    <w:rsid w:val="0000105B"/>
    <w:rsid w:val="000016F3"/>
    <w:rsid w:val="00004E98"/>
    <w:rsid w:val="00005415"/>
    <w:rsid w:val="00005BB8"/>
    <w:rsid w:val="0000707C"/>
    <w:rsid w:val="00013203"/>
    <w:rsid w:val="0001616B"/>
    <w:rsid w:val="000165BB"/>
    <w:rsid w:val="00022CFF"/>
    <w:rsid w:val="0002319A"/>
    <w:rsid w:val="000272F5"/>
    <w:rsid w:val="00035ED7"/>
    <w:rsid w:val="000379FE"/>
    <w:rsid w:val="000412D4"/>
    <w:rsid w:val="00045EF3"/>
    <w:rsid w:val="00056272"/>
    <w:rsid w:val="00060116"/>
    <w:rsid w:val="0006354D"/>
    <w:rsid w:val="00066069"/>
    <w:rsid w:val="00070920"/>
    <w:rsid w:val="0007147D"/>
    <w:rsid w:val="00072307"/>
    <w:rsid w:val="00074610"/>
    <w:rsid w:val="00076379"/>
    <w:rsid w:val="00076A88"/>
    <w:rsid w:val="00082AD4"/>
    <w:rsid w:val="00083D5D"/>
    <w:rsid w:val="000871E1"/>
    <w:rsid w:val="00087F71"/>
    <w:rsid w:val="000921B7"/>
    <w:rsid w:val="00094FDC"/>
    <w:rsid w:val="000A34C4"/>
    <w:rsid w:val="000A3F6A"/>
    <w:rsid w:val="000A66B8"/>
    <w:rsid w:val="000B5970"/>
    <w:rsid w:val="000B706D"/>
    <w:rsid w:val="000C1BFD"/>
    <w:rsid w:val="000C7595"/>
    <w:rsid w:val="000C7E1E"/>
    <w:rsid w:val="000D08C3"/>
    <w:rsid w:val="000D1016"/>
    <w:rsid w:val="000D6225"/>
    <w:rsid w:val="000E16E2"/>
    <w:rsid w:val="000E4EE1"/>
    <w:rsid w:val="000E536F"/>
    <w:rsid w:val="000E5E30"/>
    <w:rsid w:val="000E6D98"/>
    <w:rsid w:val="000F0BE5"/>
    <w:rsid w:val="000F1068"/>
    <w:rsid w:val="000F1B59"/>
    <w:rsid w:val="000F36AB"/>
    <w:rsid w:val="00103058"/>
    <w:rsid w:val="00107090"/>
    <w:rsid w:val="00117700"/>
    <w:rsid w:val="001239B7"/>
    <w:rsid w:val="00125B18"/>
    <w:rsid w:val="001261C9"/>
    <w:rsid w:val="00132769"/>
    <w:rsid w:val="00132AC2"/>
    <w:rsid w:val="001345FA"/>
    <w:rsid w:val="001356C8"/>
    <w:rsid w:val="00140F24"/>
    <w:rsid w:val="0014473B"/>
    <w:rsid w:val="00147A7D"/>
    <w:rsid w:val="001508EA"/>
    <w:rsid w:val="0015269E"/>
    <w:rsid w:val="00152CA6"/>
    <w:rsid w:val="00153862"/>
    <w:rsid w:val="00153FD6"/>
    <w:rsid w:val="00165286"/>
    <w:rsid w:val="00173A3B"/>
    <w:rsid w:val="00192A88"/>
    <w:rsid w:val="0019403D"/>
    <w:rsid w:val="00196308"/>
    <w:rsid w:val="001A1651"/>
    <w:rsid w:val="001A4053"/>
    <w:rsid w:val="001A4693"/>
    <w:rsid w:val="001A4E41"/>
    <w:rsid w:val="001A7AE5"/>
    <w:rsid w:val="001B1734"/>
    <w:rsid w:val="001B1B81"/>
    <w:rsid w:val="001B6084"/>
    <w:rsid w:val="001B7771"/>
    <w:rsid w:val="001B7B68"/>
    <w:rsid w:val="001C30FB"/>
    <w:rsid w:val="001C5386"/>
    <w:rsid w:val="001D15C7"/>
    <w:rsid w:val="001D4112"/>
    <w:rsid w:val="001E0DE3"/>
    <w:rsid w:val="001E1074"/>
    <w:rsid w:val="001E57A6"/>
    <w:rsid w:val="001F1CBB"/>
    <w:rsid w:val="001F1F07"/>
    <w:rsid w:val="001F2196"/>
    <w:rsid w:val="001F3A38"/>
    <w:rsid w:val="001F6005"/>
    <w:rsid w:val="001F6C83"/>
    <w:rsid w:val="00200DCD"/>
    <w:rsid w:val="00204A73"/>
    <w:rsid w:val="00204FB6"/>
    <w:rsid w:val="002124FF"/>
    <w:rsid w:val="002128BF"/>
    <w:rsid w:val="00214DCD"/>
    <w:rsid w:val="00220677"/>
    <w:rsid w:val="002238A2"/>
    <w:rsid w:val="0023157A"/>
    <w:rsid w:val="00234759"/>
    <w:rsid w:val="002369E8"/>
    <w:rsid w:val="00241DC4"/>
    <w:rsid w:val="0024243D"/>
    <w:rsid w:val="00242BF2"/>
    <w:rsid w:val="0025083E"/>
    <w:rsid w:val="002525D3"/>
    <w:rsid w:val="002525F9"/>
    <w:rsid w:val="00253342"/>
    <w:rsid w:val="00253517"/>
    <w:rsid w:val="00253DA6"/>
    <w:rsid w:val="002574A9"/>
    <w:rsid w:val="00260173"/>
    <w:rsid w:val="0026085F"/>
    <w:rsid w:val="002610E2"/>
    <w:rsid w:val="002632D0"/>
    <w:rsid w:val="0026401D"/>
    <w:rsid w:val="00272092"/>
    <w:rsid w:val="00276C71"/>
    <w:rsid w:val="002816F4"/>
    <w:rsid w:val="0028378C"/>
    <w:rsid w:val="002873F9"/>
    <w:rsid w:val="0029299A"/>
    <w:rsid w:val="002972F5"/>
    <w:rsid w:val="002A42BD"/>
    <w:rsid w:val="002A75F7"/>
    <w:rsid w:val="002B213C"/>
    <w:rsid w:val="002B466A"/>
    <w:rsid w:val="002B48E9"/>
    <w:rsid w:val="002B6406"/>
    <w:rsid w:val="002B6B0E"/>
    <w:rsid w:val="002B734A"/>
    <w:rsid w:val="002C11A1"/>
    <w:rsid w:val="002C4B17"/>
    <w:rsid w:val="002C6E31"/>
    <w:rsid w:val="002C70CE"/>
    <w:rsid w:val="002C70CF"/>
    <w:rsid w:val="002D13B0"/>
    <w:rsid w:val="002D53B7"/>
    <w:rsid w:val="002D615E"/>
    <w:rsid w:val="002D7538"/>
    <w:rsid w:val="002E21D0"/>
    <w:rsid w:val="002E4F26"/>
    <w:rsid w:val="002F0E6E"/>
    <w:rsid w:val="002F3E0F"/>
    <w:rsid w:val="002F5AEB"/>
    <w:rsid w:val="002F6218"/>
    <w:rsid w:val="002F7C0A"/>
    <w:rsid w:val="00300428"/>
    <w:rsid w:val="00321B31"/>
    <w:rsid w:val="00333FEF"/>
    <w:rsid w:val="00336E7C"/>
    <w:rsid w:val="00340B29"/>
    <w:rsid w:val="00345FD5"/>
    <w:rsid w:val="00346C18"/>
    <w:rsid w:val="00347354"/>
    <w:rsid w:val="003505F4"/>
    <w:rsid w:val="00353B30"/>
    <w:rsid w:val="00354C44"/>
    <w:rsid w:val="00360F26"/>
    <w:rsid w:val="0036146C"/>
    <w:rsid w:val="003651C0"/>
    <w:rsid w:val="00367ED3"/>
    <w:rsid w:val="00371A03"/>
    <w:rsid w:val="00375451"/>
    <w:rsid w:val="0038395D"/>
    <w:rsid w:val="00394960"/>
    <w:rsid w:val="00394BDC"/>
    <w:rsid w:val="00396B65"/>
    <w:rsid w:val="003970D4"/>
    <w:rsid w:val="003A0624"/>
    <w:rsid w:val="003A1568"/>
    <w:rsid w:val="003A4BF1"/>
    <w:rsid w:val="003A7530"/>
    <w:rsid w:val="003B2C09"/>
    <w:rsid w:val="003B3C26"/>
    <w:rsid w:val="003B6D0F"/>
    <w:rsid w:val="003C048C"/>
    <w:rsid w:val="003C0564"/>
    <w:rsid w:val="003C0F2A"/>
    <w:rsid w:val="003C4BD1"/>
    <w:rsid w:val="003D0449"/>
    <w:rsid w:val="003D49A3"/>
    <w:rsid w:val="003E33DB"/>
    <w:rsid w:val="003F3660"/>
    <w:rsid w:val="003F431E"/>
    <w:rsid w:val="003F46BB"/>
    <w:rsid w:val="0041093A"/>
    <w:rsid w:val="00411746"/>
    <w:rsid w:val="00416907"/>
    <w:rsid w:val="00421254"/>
    <w:rsid w:val="004230FF"/>
    <w:rsid w:val="00423B6A"/>
    <w:rsid w:val="00425332"/>
    <w:rsid w:val="00425DFC"/>
    <w:rsid w:val="0042635D"/>
    <w:rsid w:val="00430446"/>
    <w:rsid w:val="00437A6C"/>
    <w:rsid w:val="00444561"/>
    <w:rsid w:val="00444954"/>
    <w:rsid w:val="00446C4A"/>
    <w:rsid w:val="00447B45"/>
    <w:rsid w:val="00447F00"/>
    <w:rsid w:val="0045079C"/>
    <w:rsid w:val="00453834"/>
    <w:rsid w:val="00454762"/>
    <w:rsid w:val="00454F79"/>
    <w:rsid w:val="00457DA7"/>
    <w:rsid w:val="004624EC"/>
    <w:rsid w:val="00464D22"/>
    <w:rsid w:val="00465848"/>
    <w:rsid w:val="00465CA1"/>
    <w:rsid w:val="00467607"/>
    <w:rsid w:val="004676F8"/>
    <w:rsid w:val="00467BDE"/>
    <w:rsid w:val="004727F1"/>
    <w:rsid w:val="0048264B"/>
    <w:rsid w:val="00490176"/>
    <w:rsid w:val="004930D4"/>
    <w:rsid w:val="004A0E75"/>
    <w:rsid w:val="004A2B2B"/>
    <w:rsid w:val="004A2C67"/>
    <w:rsid w:val="004A50D2"/>
    <w:rsid w:val="004A5D15"/>
    <w:rsid w:val="004B26DB"/>
    <w:rsid w:val="004B4D5D"/>
    <w:rsid w:val="004C7862"/>
    <w:rsid w:val="004D0E51"/>
    <w:rsid w:val="004D11BB"/>
    <w:rsid w:val="004D18AF"/>
    <w:rsid w:val="004D3AAB"/>
    <w:rsid w:val="004D7F6F"/>
    <w:rsid w:val="004E4F40"/>
    <w:rsid w:val="004E70AB"/>
    <w:rsid w:val="004E7C24"/>
    <w:rsid w:val="004F6E3C"/>
    <w:rsid w:val="004F714F"/>
    <w:rsid w:val="004F7932"/>
    <w:rsid w:val="00502B01"/>
    <w:rsid w:val="0050495B"/>
    <w:rsid w:val="00505627"/>
    <w:rsid w:val="00506A8C"/>
    <w:rsid w:val="005101B2"/>
    <w:rsid w:val="005115BD"/>
    <w:rsid w:val="00513E08"/>
    <w:rsid w:val="00516D7C"/>
    <w:rsid w:val="0052388D"/>
    <w:rsid w:val="0053115E"/>
    <w:rsid w:val="00531629"/>
    <w:rsid w:val="00533A4E"/>
    <w:rsid w:val="00540E98"/>
    <w:rsid w:val="005410CA"/>
    <w:rsid w:val="005418B3"/>
    <w:rsid w:val="005436AB"/>
    <w:rsid w:val="00550BDE"/>
    <w:rsid w:val="0055184B"/>
    <w:rsid w:val="00553EF2"/>
    <w:rsid w:val="00557BBD"/>
    <w:rsid w:val="00572EEB"/>
    <w:rsid w:val="00576F15"/>
    <w:rsid w:val="0058064B"/>
    <w:rsid w:val="00581FD5"/>
    <w:rsid w:val="005820A6"/>
    <w:rsid w:val="00583790"/>
    <w:rsid w:val="005837AB"/>
    <w:rsid w:val="005861CB"/>
    <w:rsid w:val="005944DE"/>
    <w:rsid w:val="00594F13"/>
    <w:rsid w:val="005A08B1"/>
    <w:rsid w:val="005A5A74"/>
    <w:rsid w:val="005A658A"/>
    <w:rsid w:val="005A671E"/>
    <w:rsid w:val="005B3265"/>
    <w:rsid w:val="005B3875"/>
    <w:rsid w:val="005B578B"/>
    <w:rsid w:val="005C24CC"/>
    <w:rsid w:val="005C42B1"/>
    <w:rsid w:val="005C60D3"/>
    <w:rsid w:val="005C6273"/>
    <w:rsid w:val="005C73C0"/>
    <w:rsid w:val="005D4B15"/>
    <w:rsid w:val="005D6C9F"/>
    <w:rsid w:val="005E0B75"/>
    <w:rsid w:val="005E1A7E"/>
    <w:rsid w:val="005E5085"/>
    <w:rsid w:val="005E5230"/>
    <w:rsid w:val="005E5A6D"/>
    <w:rsid w:val="005E7962"/>
    <w:rsid w:val="005F25B0"/>
    <w:rsid w:val="005F6B35"/>
    <w:rsid w:val="005F6D0B"/>
    <w:rsid w:val="005F765F"/>
    <w:rsid w:val="00600253"/>
    <w:rsid w:val="00601746"/>
    <w:rsid w:val="00604741"/>
    <w:rsid w:val="006052CF"/>
    <w:rsid w:val="006138B1"/>
    <w:rsid w:val="00620285"/>
    <w:rsid w:val="006222C9"/>
    <w:rsid w:val="00624785"/>
    <w:rsid w:val="00627335"/>
    <w:rsid w:val="0063375C"/>
    <w:rsid w:val="00635D21"/>
    <w:rsid w:val="00635FB2"/>
    <w:rsid w:val="00637D8F"/>
    <w:rsid w:val="00641F0F"/>
    <w:rsid w:val="00642165"/>
    <w:rsid w:val="006451F3"/>
    <w:rsid w:val="00654425"/>
    <w:rsid w:val="00662FF6"/>
    <w:rsid w:val="00667379"/>
    <w:rsid w:val="006674E1"/>
    <w:rsid w:val="00667EB6"/>
    <w:rsid w:val="006727CC"/>
    <w:rsid w:val="0067371E"/>
    <w:rsid w:val="00674F6F"/>
    <w:rsid w:val="006777CC"/>
    <w:rsid w:val="00677F34"/>
    <w:rsid w:val="00682DF3"/>
    <w:rsid w:val="00682EDA"/>
    <w:rsid w:val="00683CF6"/>
    <w:rsid w:val="00691D70"/>
    <w:rsid w:val="0069359C"/>
    <w:rsid w:val="00694A4B"/>
    <w:rsid w:val="00695E98"/>
    <w:rsid w:val="00695F67"/>
    <w:rsid w:val="006A04F9"/>
    <w:rsid w:val="006A2724"/>
    <w:rsid w:val="006B01FB"/>
    <w:rsid w:val="006B13B2"/>
    <w:rsid w:val="006B5D25"/>
    <w:rsid w:val="006C2C35"/>
    <w:rsid w:val="006C354C"/>
    <w:rsid w:val="006D0202"/>
    <w:rsid w:val="006D420D"/>
    <w:rsid w:val="006D5B32"/>
    <w:rsid w:val="006D6329"/>
    <w:rsid w:val="006E4D7D"/>
    <w:rsid w:val="006E5920"/>
    <w:rsid w:val="006F146C"/>
    <w:rsid w:val="006F3BCB"/>
    <w:rsid w:val="006F5C6D"/>
    <w:rsid w:val="00701890"/>
    <w:rsid w:val="00703880"/>
    <w:rsid w:val="00704BC3"/>
    <w:rsid w:val="007057D5"/>
    <w:rsid w:val="00713D61"/>
    <w:rsid w:val="00714942"/>
    <w:rsid w:val="00720FB3"/>
    <w:rsid w:val="00723254"/>
    <w:rsid w:val="00726299"/>
    <w:rsid w:val="00726447"/>
    <w:rsid w:val="00727206"/>
    <w:rsid w:val="00730421"/>
    <w:rsid w:val="0073613A"/>
    <w:rsid w:val="0073624C"/>
    <w:rsid w:val="00736775"/>
    <w:rsid w:val="00740450"/>
    <w:rsid w:val="007426F0"/>
    <w:rsid w:val="00750548"/>
    <w:rsid w:val="00751CD6"/>
    <w:rsid w:val="0075238A"/>
    <w:rsid w:val="007545EA"/>
    <w:rsid w:val="007553BD"/>
    <w:rsid w:val="00762EC3"/>
    <w:rsid w:val="007661B9"/>
    <w:rsid w:val="0077001D"/>
    <w:rsid w:val="00771098"/>
    <w:rsid w:val="00774A73"/>
    <w:rsid w:val="00781CA4"/>
    <w:rsid w:val="00781EDA"/>
    <w:rsid w:val="00782BDA"/>
    <w:rsid w:val="00782FB5"/>
    <w:rsid w:val="00786506"/>
    <w:rsid w:val="007A2575"/>
    <w:rsid w:val="007A2887"/>
    <w:rsid w:val="007A3A53"/>
    <w:rsid w:val="007A69CA"/>
    <w:rsid w:val="007A6F45"/>
    <w:rsid w:val="007B13FC"/>
    <w:rsid w:val="007B1771"/>
    <w:rsid w:val="007B3323"/>
    <w:rsid w:val="007B536A"/>
    <w:rsid w:val="007C13C2"/>
    <w:rsid w:val="007C6016"/>
    <w:rsid w:val="007D04D1"/>
    <w:rsid w:val="007D0626"/>
    <w:rsid w:val="007D1DD6"/>
    <w:rsid w:val="007D3768"/>
    <w:rsid w:val="007D5A1A"/>
    <w:rsid w:val="007D7493"/>
    <w:rsid w:val="007D7D4A"/>
    <w:rsid w:val="007E044D"/>
    <w:rsid w:val="007E5021"/>
    <w:rsid w:val="007E6CE0"/>
    <w:rsid w:val="00800D89"/>
    <w:rsid w:val="0080216E"/>
    <w:rsid w:val="008037B3"/>
    <w:rsid w:val="0080449A"/>
    <w:rsid w:val="0080454D"/>
    <w:rsid w:val="00813284"/>
    <w:rsid w:val="00815919"/>
    <w:rsid w:val="00815A16"/>
    <w:rsid w:val="0081651B"/>
    <w:rsid w:val="00822FC2"/>
    <w:rsid w:val="00823897"/>
    <w:rsid w:val="00824DA6"/>
    <w:rsid w:val="00825074"/>
    <w:rsid w:val="00826A8E"/>
    <w:rsid w:val="008301AF"/>
    <w:rsid w:val="0083043A"/>
    <w:rsid w:val="008312DB"/>
    <w:rsid w:val="00834C50"/>
    <w:rsid w:val="00841B9B"/>
    <w:rsid w:val="00842C93"/>
    <w:rsid w:val="0084597F"/>
    <w:rsid w:val="00845CC5"/>
    <w:rsid w:val="00846597"/>
    <w:rsid w:val="00846EE2"/>
    <w:rsid w:val="008503E9"/>
    <w:rsid w:val="00853401"/>
    <w:rsid w:val="00854F6E"/>
    <w:rsid w:val="008572C7"/>
    <w:rsid w:val="00860F91"/>
    <w:rsid w:val="00873007"/>
    <w:rsid w:val="0087410C"/>
    <w:rsid w:val="00874A21"/>
    <w:rsid w:val="00881836"/>
    <w:rsid w:val="008821E3"/>
    <w:rsid w:val="008828FF"/>
    <w:rsid w:val="008872A7"/>
    <w:rsid w:val="008900FB"/>
    <w:rsid w:val="00891714"/>
    <w:rsid w:val="008921C9"/>
    <w:rsid w:val="008957DB"/>
    <w:rsid w:val="0089636C"/>
    <w:rsid w:val="00896E8D"/>
    <w:rsid w:val="008A4FDE"/>
    <w:rsid w:val="008A59B3"/>
    <w:rsid w:val="008A6EF8"/>
    <w:rsid w:val="008B5E19"/>
    <w:rsid w:val="008B6C32"/>
    <w:rsid w:val="008B6EBB"/>
    <w:rsid w:val="008B71A1"/>
    <w:rsid w:val="008C1245"/>
    <w:rsid w:val="008C31B5"/>
    <w:rsid w:val="008C44C9"/>
    <w:rsid w:val="008C790A"/>
    <w:rsid w:val="008D0984"/>
    <w:rsid w:val="008D3872"/>
    <w:rsid w:val="008D3B13"/>
    <w:rsid w:val="008E687E"/>
    <w:rsid w:val="008E6969"/>
    <w:rsid w:val="008F237C"/>
    <w:rsid w:val="008F4189"/>
    <w:rsid w:val="00900909"/>
    <w:rsid w:val="009033A4"/>
    <w:rsid w:val="0090583C"/>
    <w:rsid w:val="0090769C"/>
    <w:rsid w:val="0091042E"/>
    <w:rsid w:val="009105E2"/>
    <w:rsid w:val="00910A20"/>
    <w:rsid w:val="00910B5E"/>
    <w:rsid w:val="00913EB7"/>
    <w:rsid w:val="00914557"/>
    <w:rsid w:val="009176F6"/>
    <w:rsid w:val="00917C8C"/>
    <w:rsid w:val="00923AA1"/>
    <w:rsid w:val="00926D8D"/>
    <w:rsid w:val="009326A4"/>
    <w:rsid w:val="00932879"/>
    <w:rsid w:val="00933625"/>
    <w:rsid w:val="00933BB2"/>
    <w:rsid w:val="00933C09"/>
    <w:rsid w:val="00933C51"/>
    <w:rsid w:val="00935BAA"/>
    <w:rsid w:val="00936959"/>
    <w:rsid w:val="00937970"/>
    <w:rsid w:val="00940316"/>
    <w:rsid w:val="009403D3"/>
    <w:rsid w:val="009438E5"/>
    <w:rsid w:val="009449A9"/>
    <w:rsid w:val="009454E3"/>
    <w:rsid w:val="00955118"/>
    <w:rsid w:val="009559BF"/>
    <w:rsid w:val="00956041"/>
    <w:rsid w:val="00956D7B"/>
    <w:rsid w:val="00960D3C"/>
    <w:rsid w:val="009612B2"/>
    <w:rsid w:val="00961722"/>
    <w:rsid w:val="009643C9"/>
    <w:rsid w:val="00971304"/>
    <w:rsid w:val="0097270E"/>
    <w:rsid w:val="00973046"/>
    <w:rsid w:val="00973E12"/>
    <w:rsid w:val="009854D7"/>
    <w:rsid w:val="00985B16"/>
    <w:rsid w:val="00991386"/>
    <w:rsid w:val="00991870"/>
    <w:rsid w:val="009956BD"/>
    <w:rsid w:val="009A1073"/>
    <w:rsid w:val="009A235B"/>
    <w:rsid w:val="009A3362"/>
    <w:rsid w:val="009A3816"/>
    <w:rsid w:val="009A53BA"/>
    <w:rsid w:val="009A5B55"/>
    <w:rsid w:val="009A7287"/>
    <w:rsid w:val="009B1598"/>
    <w:rsid w:val="009B1645"/>
    <w:rsid w:val="009B4697"/>
    <w:rsid w:val="009C059B"/>
    <w:rsid w:val="009C64F9"/>
    <w:rsid w:val="009C7526"/>
    <w:rsid w:val="009D0B99"/>
    <w:rsid w:val="009D2A76"/>
    <w:rsid w:val="009D4C42"/>
    <w:rsid w:val="009D64F1"/>
    <w:rsid w:val="009E2A7B"/>
    <w:rsid w:val="009E47E1"/>
    <w:rsid w:val="009F1577"/>
    <w:rsid w:val="009F62B6"/>
    <w:rsid w:val="009F68CD"/>
    <w:rsid w:val="009F6FAF"/>
    <w:rsid w:val="00A05A28"/>
    <w:rsid w:val="00A06B11"/>
    <w:rsid w:val="00A06FD5"/>
    <w:rsid w:val="00A1109B"/>
    <w:rsid w:val="00A2062E"/>
    <w:rsid w:val="00A22451"/>
    <w:rsid w:val="00A24BFD"/>
    <w:rsid w:val="00A253BC"/>
    <w:rsid w:val="00A30E57"/>
    <w:rsid w:val="00A33604"/>
    <w:rsid w:val="00A3578F"/>
    <w:rsid w:val="00A35CD0"/>
    <w:rsid w:val="00A362FE"/>
    <w:rsid w:val="00A37635"/>
    <w:rsid w:val="00A4740F"/>
    <w:rsid w:val="00A477BA"/>
    <w:rsid w:val="00A55636"/>
    <w:rsid w:val="00A571A6"/>
    <w:rsid w:val="00A57C2E"/>
    <w:rsid w:val="00A613D7"/>
    <w:rsid w:val="00A653D8"/>
    <w:rsid w:val="00A7327E"/>
    <w:rsid w:val="00A73A1E"/>
    <w:rsid w:val="00A73CF5"/>
    <w:rsid w:val="00A74FD3"/>
    <w:rsid w:val="00A766E2"/>
    <w:rsid w:val="00A76C47"/>
    <w:rsid w:val="00A76C70"/>
    <w:rsid w:val="00A77088"/>
    <w:rsid w:val="00A809AA"/>
    <w:rsid w:val="00A80D65"/>
    <w:rsid w:val="00A86056"/>
    <w:rsid w:val="00A87BC0"/>
    <w:rsid w:val="00A90B6F"/>
    <w:rsid w:val="00A92D12"/>
    <w:rsid w:val="00A952A6"/>
    <w:rsid w:val="00A9790D"/>
    <w:rsid w:val="00AA0B5C"/>
    <w:rsid w:val="00AA1FF0"/>
    <w:rsid w:val="00AA3F3A"/>
    <w:rsid w:val="00AA59BE"/>
    <w:rsid w:val="00AA5DF8"/>
    <w:rsid w:val="00AA6743"/>
    <w:rsid w:val="00AA77A6"/>
    <w:rsid w:val="00AA797B"/>
    <w:rsid w:val="00AB024F"/>
    <w:rsid w:val="00AB047F"/>
    <w:rsid w:val="00AB147D"/>
    <w:rsid w:val="00AB4738"/>
    <w:rsid w:val="00AB49AF"/>
    <w:rsid w:val="00AC0612"/>
    <w:rsid w:val="00AC0CDF"/>
    <w:rsid w:val="00AC4311"/>
    <w:rsid w:val="00AC4C02"/>
    <w:rsid w:val="00AC6143"/>
    <w:rsid w:val="00AC692A"/>
    <w:rsid w:val="00AC7A55"/>
    <w:rsid w:val="00AD00D1"/>
    <w:rsid w:val="00AD483C"/>
    <w:rsid w:val="00AE2254"/>
    <w:rsid w:val="00AE41E8"/>
    <w:rsid w:val="00AE76C2"/>
    <w:rsid w:val="00AF2089"/>
    <w:rsid w:val="00AF3610"/>
    <w:rsid w:val="00AF5E7C"/>
    <w:rsid w:val="00AF5FA7"/>
    <w:rsid w:val="00AF7C1F"/>
    <w:rsid w:val="00B11DD2"/>
    <w:rsid w:val="00B134C4"/>
    <w:rsid w:val="00B13CCA"/>
    <w:rsid w:val="00B147AC"/>
    <w:rsid w:val="00B15764"/>
    <w:rsid w:val="00B178C7"/>
    <w:rsid w:val="00B17C43"/>
    <w:rsid w:val="00B24355"/>
    <w:rsid w:val="00B25028"/>
    <w:rsid w:val="00B26661"/>
    <w:rsid w:val="00B33BB8"/>
    <w:rsid w:val="00B35C50"/>
    <w:rsid w:val="00B3731E"/>
    <w:rsid w:val="00B42493"/>
    <w:rsid w:val="00B4573D"/>
    <w:rsid w:val="00B554C4"/>
    <w:rsid w:val="00B65383"/>
    <w:rsid w:val="00B66E3F"/>
    <w:rsid w:val="00B67132"/>
    <w:rsid w:val="00B6794B"/>
    <w:rsid w:val="00B71781"/>
    <w:rsid w:val="00B73574"/>
    <w:rsid w:val="00B74512"/>
    <w:rsid w:val="00B74A96"/>
    <w:rsid w:val="00B75452"/>
    <w:rsid w:val="00B8307C"/>
    <w:rsid w:val="00B847F2"/>
    <w:rsid w:val="00B866C3"/>
    <w:rsid w:val="00B86851"/>
    <w:rsid w:val="00B86F62"/>
    <w:rsid w:val="00B9077F"/>
    <w:rsid w:val="00B93920"/>
    <w:rsid w:val="00B95F2E"/>
    <w:rsid w:val="00BA142D"/>
    <w:rsid w:val="00BA19E2"/>
    <w:rsid w:val="00BA35B9"/>
    <w:rsid w:val="00BA3CC0"/>
    <w:rsid w:val="00BA58A6"/>
    <w:rsid w:val="00BA70EE"/>
    <w:rsid w:val="00BB0107"/>
    <w:rsid w:val="00BB1F7D"/>
    <w:rsid w:val="00BB3BAB"/>
    <w:rsid w:val="00BC0C1B"/>
    <w:rsid w:val="00BC5410"/>
    <w:rsid w:val="00BC609B"/>
    <w:rsid w:val="00BD7101"/>
    <w:rsid w:val="00BE6A6D"/>
    <w:rsid w:val="00BF1500"/>
    <w:rsid w:val="00BF2150"/>
    <w:rsid w:val="00BF7136"/>
    <w:rsid w:val="00C0256C"/>
    <w:rsid w:val="00C11855"/>
    <w:rsid w:val="00C11BD8"/>
    <w:rsid w:val="00C13EA8"/>
    <w:rsid w:val="00C14969"/>
    <w:rsid w:val="00C16EB3"/>
    <w:rsid w:val="00C20BC9"/>
    <w:rsid w:val="00C23073"/>
    <w:rsid w:val="00C23D37"/>
    <w:rsid w:val="00C249B2"/>
    <w:rsid w:val="00C268F3"/>
    <w:rsid w:val="00C30659"/>
    <w:rsid w:val="00C42448"/>
    <w:rsid w:val="00C43A28"/>
    <w:rsid w:val="00C46BFB"/>
    <w:rsid w:val="00C4793D"/>
    <w:rsid w:val="00C47947"/>
    <w:rsid w:val="00C53815"/>
    <w:rsid w:val="00C55B71"/>
    <w:rsid w:val="00C6572A"/>
    <w:rsid w:val="00C7096B"/>
    <w:rsid w:val="00C73935"/>
    <w:rsid w:val="00C75936"/>
    <w:rsid w:val="00C760BE"/>
    <w:rsid w:val="00C82A01"/>
    <w:rsid w:val="00C86F3D"/>
    <w:rsid w:val="00C87141"/>
    <w:rsid w:val="00C92D34"/>
    <w:rsid w:val="00C96185"/>
    <w:rsid w:val="00C96461"/>
    <w:rsid w:val="00CA09A4"/>
    <w:rsid w:val="00CA2709"/>
    <w:rsid w:val="00CA36A4"/>
    <w:rsid w:val="00CA482D"/>
    <w:rsid w:val="00CA6628"/>
    <w:rsid w:val="00CA76B4"/>
    <w:rsid w:val="00CA7F27"/>
    <w:rsid w:val="00CB1B8A"/>
    <w:rsid w:val="00CB383A"/>
    <w:rsid w:val="00CB42AA"/>
    <w:rsid w:val="00CB5301"/>
    <w:rsid w:val="00CB580A"/>
    <w:rsid w:val="00CB5D00"/>
    <w:rsid w:val="00CB645A"/>
    <w:rsid w:val="00CC087C"/>
    <w:rsid w:val="00CC0DD1"/>
    <w:rsid w:val="00CC418C"/>
    <w:rsid w:val="00CC50B2"/>
    <w:rsid w:val="00CC6456"/>
    <w:rsid w:val="00CD095E"/>
    <w:rsid w:val="00CD2314"/>
    <w:rsid w:val="00CD2D84"/>
    <w:rsid w:val="00CD3A32"/>
    <w:rsid w:val="00CE2450"/>
    <w:rsid w:val="00CE429B"/>
    <w:rsid w:val="00CE70C4"/>
    <w:rsid w:val="00CE7F8C"/>
    <w:rsid w:val="00CF1A9A"/>
    <w:rsid w:val="00CF27F5"/>
    <w:rsid w:val="00CF4E24"/>
    <w:rsid w:val="00CF5EC5"/>
    <w:rsid w:val="00CF7688"/>
    <w:rsid w:val="00D01C00"/>
    <w:rsid w:val="00D0337F"/>
    <w:rsid w:val="00D07306"/>
    <w:rsid w:val="00D10815"/>
    <w:rsid w:val="00D12E10"/>
    <w:rsid w:val="00D156B0"/>
    <w:rsid w:val="00D21150"/>
    <w:rsid w:val="00D26390"/>
    <w:rsid w:val="00D30790"/>
    <w:rsid w:val="00D31BE2"/>
    <w:rsid w:val="00D32C99"/>
    <w:rsid w:val="00D33982"/>
    <w:rsid w:val="00D42680"/>
    <w:rsid w:val="00D43679"/>
    <w:rsid w:val="00D44409"/>
    <w:rsid w:val="00D47A39"/>
    <w:rsid w:val="00D503F0"/>
    <w:rsid w:val="00D51B75"/>
    <w:rsid w:val="00D51CF7"/>
    <w:rsid w:val="00D548E6"/>
    <w:rsid w:val="00D60CF8"/>
    <w:rsid w:val="00D6396B"/>
    <w:rsid w:val="00D7181E"/>
    <w:rsid w:val="00D7190D"/>
    <w:rsid w:val="00D754C8"/>
    <w:rsid w:val="00D762CC"/>
    <w:rsid w:val="00D7696D"/>
    <w:rsid w:val="00D8045B"/>
    <w:rsid w:val="00D80EAC"/>
    <w:rsid w:val="00D8317A"/>
    <w:rsid w:val="00D84EB2"/>
    <w:rsid w:val="00D909C0"/>
    <w:rsid w:val="00D9141D"/>
    <w:rsid w:val="00D96A07"/>
    <w:rsid w:val="00DA22BA"/>
    <w:rsid w:val="00DA38D1"/>
    <w:rsid w:val="00DA5489"/>
    <w:rsid w:val="00DB05D0"/>
    <w:rsid w:val="00DB11A0"/>
    <w:rsid w:val="00DB4AAA"/>
    <w:rsid w:val="00DB4CA8"/>
    <w:rsid w:val="00DC0310"/>
    <w:rsid w:val="00DC438D"/>
    <w:rsid w:val="00DC5A46"/>
    <w:rsid w:val="00DD1548"/>
    <w:rsid w:val="00DD16C4"/>
    <w:rsid w:val="00DD1776"/>
    <w:rsid w:val="00DD1F0B"/>
    <w:rsid w:val="00DD210B"/>
    <w:rsid w:val="00DE10FB"/>
    <w:rsid w:val="00DE5D02"/>
    <w:rsid w:val="00DF19D1"/>
    <w:rsid w:val="00DF2C30"/>
    <w:rsid w:val="00DF4339"/>
    <w:rsid w:val="00DF6B6E"/>
    <w:rsid w:val="00DF6F8A"/>
    <w:rsid w:val="00DF75D7"/>
    <w:rsid w:val="00E02318"/>
    <w:rsid w:val="00E04738"/>
    <w:rsid w:val="00E0650A"/>
    <w:rsid w:val="00E06FF2"/>
    <w:rsid w:val="00E10549"/>
    <w:rsid w:val="00E112AC"/>
    <w:rsid w:val="00E23A1E"/>
    <w:rsid w:val="00E254E6"/>
    <w:rsid w:val="00E33BD7"/>
    <w:rsid w:val="00E34D8B"/>
    <w:rsid w:val="00E408F6"/>
    <w:rsid w:val="00E4169E"/>
    <w:rsid w:val="00E41ECE"/>
    <w:rsid w:val="00E42AA6"/>
    <w:rsid w:val="00E42D0D"/>
    <w:rsid w:val="00E4521B"/>
    <w:rsid w:val="00E50019"/>
    <w:rsid w:val="00E52971"/>
    <w:rsid w:val="00E6104F"/>
    <w:rsid w:val="00E63E7C"/>
    <w:rsid w:val="00E700FD"/>
    <w:rsid w:val="00E74287"/>
    <w:rsid w:val="00E7443B"/>
    <w:rsid w:val="00E74A55"/>
    <w:rsid w:val="00E759CA"/>
    <w:rsid w:val="00E75DA9"/>
    <w:rsid w:val="00E761E2"/>
    <w:rsid w:val="00E803D6"/>
    <w:rsid w:val="00E83186"/>
    <w:rsid w:val="00E83D31"/>
    <w:rsid w:val="00E87893"/>
    <w:rsid w:val="00E87C03"/>
    <w:rsid w:val="00E95012"/>
    <w:rsid w:val="00E958E7"/>
    <w:rsid w:val="00E965BA"/>
    <w:rsid w:val="00E96B27"/>
    <w:rsid w:val="00EA7E35"/>
    <w:rsid w:val="00EA7E42"/>
    <w:rsid w:val="00EB0918"/>
    <w:rsid w:val="00EB100A"/>
    <w:rsid w:val="00EB43FA"/>
    <w:rsid w:val="00EB4E6B"/>
    <w:rsid w:val="00EB5224"/>
    <w:rsid w:val="00EC0987"/>
    <w:rsid w:val="00EC2EC0"/>
    <w:rsid w:val="00ED4523"/>
    <w:rsid w:val="00ED49A6"/>
    <w:rsid w:val="00EE4FAF"/>
    <w:rsid w:val="00EF18B6"/>
    <w:rsid w:val="00EF2F64"/>
    <w:rsid w:val="00EF4929"/>
    <w:rsid w:val="00F06C04"/>
    <w:rsid w:val="00F07FA1"/>
    <w:rsid w:val="00F13772"/>
    <w:rsid w:val="00F16D8C"/>
    <w:rsid w:val="00F17B70"/>
    <w:rsid w:val="00F264FA"/>
    <w:rsid w:val="00F3014B"/>
    <w:rsid w:val="00F32262"/>
    <w:rsid w:val="00F324D1"/>
    <w:rsid w:val="00F36772"/>
    <w:rsid w:val="00F37ABC"/>
    <w:rsid w:val="00F407AA"/>
    <w:rsid w:val="00F41450"/>
    <w:rsid w:val="00F438FF"/>
    <w:rsid w:val="00F44A5F"/>
    <w:rsid w:val="00F537C1"/>
    <w:rsid w:val="00F53E31"/>
    <w:rsid w:val="00F57731"/>
    <w:rsid w:val="00F60B14"/>
    <w:rsid w:val="00F635E6"/>
    <w:rsid w:val="00F64A14"/>
    <w:rsid w:val="00F66283"/>
    <w:rsid w:val="00F670A5"/>
    <w:rsid w:val="00F71C8A"/>
    <w:rsid w:val="00F71ED8"/>
    <w:rsid w:val="00F7246A"/>
    <w:rsid w:val="00F73499"/>
    <w:rsid w:val="00F73D63"/>
    <w:rsid w:val="00F75E7A"/>
    <w:rsid w:val="00F761AC"/>
    <w:rsid w:val="00F772AB"/>
    <w:rsid w:val="00F81F73"/>
    <w:rsid w:val="00F8320A"/>
    <w:rsid w:val="00F877D5"/>
    <w:rsid w:val="00F90FDC"/>
    <w:rsid w:val="00F917AF"/>
    <w:rsid w:val="00F93721"/>
    <w:rsid w:val="00F93D6A"/>
    <w:rsid w:val="00F9702B"/>
    <w:rsid w:val="00F976D1"/>
    <w:rsid w:val="00FA1BC6"/>
    <w:rsid w:val="00FA21EC"/>
    <w:rsid w:val="00FA6239"/>
    <w:rsid w:val="00FB1E82"/>
    <w:rsid w:val="00FB2D3B"/>
    <w:rsid w:val="00FB38CE"/>
    <w:rsid w:val="00FB6B30"/>
    <w:rsid w:val="00FB6F9E"/>
    <w:rsid w:val="00FC040D"/>
    <w:rsid w:val="00FC3ECB"/>
    <w:rsid w:val="00FC441E"/>
    <w:rsid w:val="00FC46B7"/>
    <w:rsid w:val="00FC5A10"/>
    <w:rsid w:val="00FC6D66"/>
    <w:rsid w:val="00FD09B5"/>
    <w:rsid w:val="00FD2D6B"/>
    <w:rsid w:val="00FD33AF"/>
    <w:rsid w:val="00FE0073"/>
    <w:rsid w:val="00FE07EA"/>
    <w:rsid w:val="00FE2FF0"/>
    <w:rsid w:val="00FE4100"/>
    <w:rsid w:val="00FE5808"/>
    <w:rsid w:val="00FE7D3F"/>
    <w:rsid w:val="00FF0854"/>
    <w:rsid w:val="00FF3CC5"/>
    <w:rsid w:val="00FF4E6F"/>
    <w:rsid w:val="00FF788B"/>
    <w:rsid w:val="0196CC15"/>
    <w:rsid w:val="044FB2AE"/>
    <w:rsid w:val="054285D9"/>
    <w:rsid w:val="05F4D8AB"/>
    <w:rsid w:val="06451675"/>
    <w:rsid w:val="08878FCC"/>
    <w:rsid w:val="0A6D6301"/>
    <w:rsid w:val="0D23989E"/>
    <w:rsid w:val="0DD8F5DB"/>
    <w:rsid w:val="0EE38F10"/>
    <w:rsid w:val="1007A984"/>
    <w:rsid w:val="11EB8DDA"/>
    <w:rsid w:val="12A12F9C"/>
    <w:rsid w:val="133F4A46"/>
    <w:rsid w:val="1466FB27"/>
    <w:rsid w:val="14DAFC49"/>
    <w:rsid w:val="1616F18F"/>
    <w:rsid w:val="1663EC83"/>
    <w:rsid w:val="166402DB"/>
    <w:rsid w:val="1676EB08"/>
    <w:rsid w:val="16DDCC0E"/>
    <w:rsid w:val="1842461C"/>
    <w:rsid w:val="1A7D1876"/>
    <w:rsid w:val="1AEA62B2"/>
    <w:rsid w:val="1CE933C6"/>
    <w:rsid w:val="2140C50E"/>
    <w:rsid w:val="21AFC0C7"/>
    <w:rsid w:val="21F1876A"/>
    <w:rsid w:val="245DC5DA"/>
    <w:rsid w:val="262B9DCC"/>
    <w:rsid w:val="27AFBD5D"/>
    <w:rsid w:val="29388F5C"/>
    <w:rsid w:val="2A14CBED"/>
    <w:rsid w:val="2DE38225"/>
    <w:rsid w:val="2DF08AE3"/>
    <w:rsid w:val="2E32E12E"/>
    <w:rsid w:val="2EA80CAA"/>
    <w:rsid w:val="2EE1AB37"/>
    <w:rsid w:val="2EEB4A81"/>
    <w:rsid w:val="2F0AB564"/>
    <w:rsid w:val="30053F10"/>
    <w:rsid w:val="30AE9235"/>
    <w:rsid w:val="30CF59E8"/>
    <w:rsid w:val="3196393B"/>
    <w:rsid w:val="319A1F05"/>
    <w:rsid w:val="331645F7"/>
    <w:rsid w:val="33D20CF0"/>
    <w:rsid w:val="3489F46F"/>
    <w:rsid w:val="35E923DF"/>
    <w:rsid w:val="3607B022"/>
    <w:rsid w:val="38719025"/>
    <w:rsid w:val="38A194E1"/>
    <w:rsid w:val="3D4D972D"/>
    <w:rsid w:val="3D754A71"/>
    <w:rsid w:val="3F5B2DB6"/>
    <w:rsid w:val="3FFC84ED"/>
    <w:rsid w:val="4125A912"/>
    <w:rsid w:val="4327A4F0"/>
    <w:rsid w:val="4328B392"/>
    <w:rsid w:val="438D33D6"/>
    <w:rsid w:val="44078FEC"/>
    <w:rsid w:val="46A9AFE4"/>
    <w:rsid w:val="484EEF8A"/>
    <w:rsid w:val="49AEB1EF"/>
    <w:rsid w:val="4AB5D63D"/>
    <w:rsid w:val="4ADB1E58"/>
    <w:rsid w:val="4BC87DCF"/>
    <w:rsid w:val="4C9B1AB7"/>
    <w:rsid w:val="4D08B812"/>
    <w:rsid w:val="4D1BF8BC"/>
    <w:rsid w:val="4D5A1243"/>
    <w:rsid w:val="4D623EA9"/>
    <w:rsid w:val="4F7931D4"/>
    <w:rsid w:val="4F828E45"/>
    <w:rsid w:val="4FE0E041"/>
    <w:rsid w:val="541AE7B2"/>
    <w:rsid w:val="54E549D0"/>
    <w:rsid w:val="5738E076"/>
    <w:rsid w:val="57A92D1A"/>
    <w:rsid w:val="591669D1"/>
    <w:rsid w:val="592CE573"/>
    <w:rsid w:val="5A7A5B78"/>
    <w:rsid w:val="5DB04C2D"/>
    <w:rsid w:val="5DD06732"/>
    <w:rsid w:val="5E3788B7"/>
    <w:rsid w:val="5EA125B0"/>
    <w:rsid w:val="5F0461E9"/>
    <w:rsid w:val="5F0D41E6"/>
    <w:rsid w:val="60238F47"/>
    <w:rsid w:val="607E866A"/>
    <w:rsid w:val="60A8274C"/>
    <w:rsid w:val="6564CB93"/>
    <w:rsid w:val="69A609F0"/>
    <w:rsid w:val="6BD29C91"/>
    <w:rsid w:val="6C5A04E1"/>
    <w:rsid w:val="6CB4FC04"/>
    <w:rsid w:val="6D8E3D1E"/>
    <w:rsid w:val="6DD3340D"/>
    <w:rsid w:val="70248E0D"/>
    <w:rsid w:val="70D13965"/>
    <w:rsid w:val="729F1D4C"/>
    <w:rsid w:val="788958FF"/>
    <w:rsid w:val="79338593"/>
    <w:rsid w:val="7C78E250"/>
    <w:rsid w:val="7CAECAD8"/>
    <w:rsid w:val="7F9464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630EC"/>
  <w15:docId w15:val="{72D50FE2-C8C5-4A51-AF90-86BDFC1D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CA6"/>
    <w:pPr>
      <w:spacing w:after="120"/>
    </w:pPr>
    <w:rPr>
      <w:rFonts w:ascii="Arial" w:hAnsi="Arial"/>
    </w:rPr>
  </w:style>
  <w:style w:type="paragraph" w:styleId="Heading1">
    <w:name w:val="heading 1"/>
    <w:basedOn w:val="Normal"/>
    <w:next w:val="Normal"/>
    <w:link w:val="Heading1Char"/>
    <w:uiPriority w:val="9"/>
    <w:qFormat/>
    <w:rsid w:val="00F60B14"/>
    <w:pPr>
      <w:keepNext/>
      <w:keepLines/>
      <w:spacing w:before="120"/>
      <w:jc w:val="center"/>
      <w:outlineLvl w:val="0"/>
    </w:pPr>
    <w:rPr>
      <w:rFonts w:eastAsiaTheme="majorEastAsia" w:cstheme="majorBidi"/>
      <w:b/>
      <w:bCs/>
      <w:color w:val="365F91" w:themeColor="accent1" w:themeShade="BF"/>
      <w:sz w:val="36"/>
      <w:szCs w:val="32"/>
    </w:rPr>
  </w:style>
  <w:style w:type="paragraph" w:styleId="Heading2">
    <w:name w:val="heading 2"/>
    <w:basedOn w:val="Normal"/>
    <w:next w:val="Normal"/>
    <w:link w:val="Heading2Char"/>
    <w:qFormat/>
    <w:rsid w:val="001E57A6"/>
    <w:pPr>
      <w:keepNext/>
      <w:tabs>
        <w:tab w:val="left" w:pos="7185"/>
      </w:tabs>
      <w:spacing w:before="160"/>
      <w:contextualSpacing/>
      <w:outlineLvl w:val="1"/>
    </w:pPr>
    <w:rPr>
      <w:rFonts w:cstheme="minorHAnsi"/>
      <w:b/>
      <w:caps/>
      <w:color w:val="1F497D" w:themeColor="text2"/>
      <w:sz w:val="24"/>
      <w:szCs w:val="24"/>
    </w:rPr>
  </w:style>
  <w:style w:type="paragraph" w:styleId="Heading3">
    <w:name w:val="heading 3"/>
    <w:basedOn w:val="Normal"/>
    <w:next w:val="Normal"/>
    <w:link w:val="Heading3Char"/>
    <w:uiPriority w:val="9"/>
    <w:unhideWhenUsed/>
    <w:qFormat/>
    <w:rsid w:val="00BF1500"/>
    <w:pPr>
      <w:keepNext/>
      <w:keepLines/>
      <w:spacing w:before="80" w:after="80"/>
      <w:contextualSpacing/>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BFB"/>
    <w:pPr>
      <w:tabs>
        <w:tab w:val="center" w:pos="4680"/>
        <w:tab w:val="right" w:pos="9360"/>
      </w:tabs>
    </w:pPr>
  </w:style>
  <w:style w:type="character" w:customStyle="1" w:styleId="HeaderChar">
    <w:name w:val="Header Char"/>
    <w:basedOn w:val="DefaultParagraphFont"/>
    <w:link w:val="Header"/>
    <w:uiPriority w:val="99"/>
    <w:rsid w:val="00C46BFB"/>
  </w:style>
  <w:style w:type="paragraph" w:styleId="Footer">
    <w:name w:val="footer"/>
    <w:basedOn w:val="Normal"/>
    <w:link w:val="FooterChar"/>
    <w:uiPriority w:val="99"/>
    <w:unhideWhenUsed/>
    <w:rsid w:val="00C46BFB"/>
    <w:pPr>
      <w:tabs>
        <w:tab w:val="center" w:pos="4680"/>
        <w:tab w:val="right" w:pos="9360"/>
      </w:tabs>
    </w:pPr>
  </w:style>
  <w:style w:type="character" w:customStyle="1" w:styleId="FooterChar">
    <w:name w:val="Footer Char"/>
    <w:basedOn w:val="DefaultParagraphFont"/>
    <w:link w:val="Footer"/>
    <w:uiPriority w:val="99"/>
    <w:rsid w:val="00C46BFB"/>
  </w:style>
  <w:style w:type="paragraph" w:styleId="ListParagraph">
    <w:name w:val="List Paragraph"/>
    <w:basedOn w:val="Normal"/>
    <w:uiPriority w:val="34"/>
    <w:qFormat/>
    <w:rsid w:val="00C46BFB"/>
    <w:pPr>
      <w:ind w:left="720"/>
      <w:contextualSpacing/>
    </w:pPr>
  </w:style>
  <w:style w:type="paragraph" w:styleId="BalloonText">
    <w:name w:val="Balloon Text"/>
    <w:basedOn w:val="Normal"/>
    <w:link w:val="BalloonTextChar"/>
    <w:uiPriority w:val="99"/>
    <w:semiHidden/>
    <w:unhideWhenUsed/>
    <w:rsid w:val="000B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970"/>
    <w:rPr>
      <w:rFonts w:ascii="Segoe UI" w:hAnsi="Segoe UI" w:cs="Segoe UI"/>
      <w:sz w:val="18"/>
      <w:szCs w:val="18"/>
    </w:rPr>
  </w:style>
  <w:style w:type="character" w:customStyle="1" w:styleId="Heading2Char">
    <w:name w:val="Heading 2 Char"/>
    <w:basedOn w:val="DefaultParagraphFont"/>
    <w:link w:val="Heading2"/>
    <w:rsid w:val="001E57A6"/>
    <w:rPr>
      <w:rFonts w:ascii="Arial" w:hAnsi="Arial" w:cstheme="minorHAnsi"/>
      <w:b/>
      <w:caps/>
      <w:color w:val="1F497D" w:themeColor="text2"/>
      <w:sz w:val="24"/>
      <w:szCs w:val="24"/>
    </w:rPr>
  </w:style>
  <w:style w:type="paragraph" w:customStyle="1" w:styleId="TableText">
    <w:name w:val="Table Text"/>
    <w:basedOn w:val="Normal"/>
    <w:rsid w:val="00CB645A"/>
    <w:pPr>
      <w:spacing w:before="20"/>
    </w:pPr>
    <w:rPr>
      <w:rFonts w:eastAsia="Times New Roman" w:cs="Arial"/>
      <w:noProof/>
      <w:sz w:val="24"/>
      <w:szCs w:val="24"/>
    </w:rPr>
  </w:style>
  <w:style w:type="character" w:styleId="Hyperlink">
    <w:name w:val="Hyperlink"/>
    <w:basedOn w:val="DefaultParagraphFont"/>
    <w:uiPriority w:val="99"/>
    <w:unhideWhenUsed/>
    <w:rsid w:val="00823897"/>
    <w:rPr>
      <w:color w:val="0000FF" w:themeColor="hyperlink"/>
      <w:u w:val="single"/>
    </w:rPr>
  </w:style>
  <w:style w:type="paragraph" w:customStyle="1" w:styleId="ProcTitle">
    <w:name w:val="ProcTitle"/>
    <w:basedOn w:val="Normal"/>
    <w:link w:val="ProcTitleChar"/>
    <w:qFormat/>
    <w:rsid w:val="00EC2EC0"/>
  </w:style>
  <w:style w:type="paragraph" w:customStyle="1" w:styleId="ProcedureTitle">
    <w:name w:val="ProcedureTitle"/>
    <w:basedOn w:val="ProcTitle"/>
    <w:next w:val="Normal"/>
    <w:link w:val="ProcedureTitleChar"/>
    <w:qFormat/>
    <w:rsid w:val="00EC2EC0"/>
    <w:rPr>
      <w:rFonts w:cs="Arial"/>
      <w:b/>
      <w:sz w:val="28"/>
      <w:szCs w:val="28"/>
    </w:rPr>
  </w:style>
  <w:style w:type="character" w:customStyle="1" w:styleId="ProcTitleChar">
    <w:name w:val="ProcTitle Char"/>
    <w:basedOn w:val="DefaultParagraphFont"/>
    <w:link w:val="ProcTitle"/>
    <w:rsid w:val="00EC2EC0"/>
  </w:style>
  <w:style w:type="character" w:customStyle="1" w:styleId="ProcedureTitleChar">
    <w:name w:val="ProcedureTitle Char"/>
    <w:basedOn w:val="ProcTitleChar"/>
    <w:link w:val="ProcedureTitle"/>
    <w:rsid w:val="00EC2EC0"/>
    <w:rPr>
      <w:rFonts w:ascii="Arial" w:hAnsi="Arial" w:cs="Arial"/>
      <w:b/>
      <w:sz w:val="28"/>
      <w:szCs w:val="28"/>
    </w:rPr>
  </w:style>
  <w:style w:type="character" w:customStyle="1" w:styleId="Heading1Char">
    <w:name w:val="Heading 1 Char"/>
    <w:basedOn w:val="DefaultParagraphFont"/>
    <w:link w:val="Heading1"/>
    <w:uiPriority w:val="9"/>
    <w:rsid w:val="00F60B14"/>
    <w:rPr>
      <w:rFonts w:ascii="Arial" w:eastAsiaTheme="majorEastAsia" w:hAnsi="Arial" w:cstheme="majorBidi"/>
      <w:b/>
      <w:bCs/>
      <w:color w:val="365F91" w:themeColor="accent1" w:themeShade="BF"/>
      <w:sz w:val="36"/>
      <w:szCs w:val="32"/>
    </w:rPr>
  </w:style>
  <w:style w:type="table" w:styleId="TableGrid">
    <w:name w:val="Table Grid"/>
    <w:basedOn w:val="TableNormal"/>
    <w:uiPriority w:val="59"/>
    <w:rsid w:val="00CB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01AF"/>
    <w:rPr>
      <w:sz w:val="16"/>
      <w:szCs w:val="16"/>
    </w:rPr>
  </w:style>
  <w:style w:type="paragraph" w:styleId="CommentText">
    <w:name w:val="annotation text"/>
    <w:basedOn w:val="Normal"/>
    <w:link w:val="CommentTextChar"/>
    <w:uiPriority w:val="99"/>
    <w:semiHidden/>
    <w:unhideWhenUsed/>
    <w:rsid w:val="008301AF"/>
    <w:rPr>
      <w:sz w:val="20"/>
      <w:szCs w:val="20"/>
    </w:rPr>
  </w:style>
  <w:style w:type="character" w:customStyle="1" w:styleId="CommentTextChar">
    <w:name w:val="Comment Text Char"/>
    <w:basedOn w:val="DefaultParagraphFont"/>
    <w:link w:val="CommentText"/>
    <w:uiPriority w:val="99"/>
    <w:semiHidden/>
    <w:rsid w:val="008301AF"/>
    <w:rPr>
      <w:sz w:val="20"/>
      <w:szCs w:val="20"/>
    </w:rPr>
  </w:style>
  <w:style w:type="paragraph" w:styleId="CommentSubject">
    <w:name w:val="annotation subject"/>
    <w:basedOn w:val="CommentText"/>
    <w:next w:val="CommentText"/>
    <w:link w:val="CommentSubjectChar"/>
    <w:uiPriority w:val="99"/>
    <w:semiHidden/>
    <w:unhideWhenUsed/>
    <w:rsid w:val="008301AF"/>
    <w:rPr>
      <w:b/>
      <w:bCs/>
    </w:rPr>
  </w:style>
  <w:style w:type="character" w:customStyle="1" w:styleId="CommentSubjectChar">
    <w:name w:val="Comment Subject Char"/>
    <w:basedOn w:val="CommentTextChar"/>
    <w:link w:val="CommentSubject"/>
    <w:uiPriority w:val="99"/>
    <w:semiHidden/>
    <w:rsid w:val="008301AF"/>
    <w:rPr>
      <w:b/>
      <w:bCs/>
      <w:sz w:val="20"/>
      <w:szCs w:val="20"/>
    </w:rPr>
  </w:style>
  <w:style w:type="character" w:styleId="UnresolvedMention">
    <w:name w:val="Unresolved Mention"/>
    <w:basedOn w:val="DefaultParagraphFont"/>
    <w:uiPriority w:val="99"/>
    <w:semiHidden/>
    <w:unhideWhenUsed/>
    <w:rsid w:val="008D3872"/>
    <w:rPr>
      <w:color w:val="605E5C"/>
      <w:shd w:val="clear" w:color="auto" w:fill="E1DFDD"/>
    </w:rPr>
  </w:style>
  <w:style w:type="character" w:styleId="FollowedHyperlink">
    <w:name w:val="FollowedHyperlink"/>
    <w:basedOn w:val="DefaultParagraphFont"/>
    <w:uiPriority w:val="99"/>
    <w:semiHidden/>
    <w:unhideWhenUsed/>
    <w:rsid w:val="00066069"/>
    <w:rPr>
      <w:color w:val="800080" w:themeColor="followedHyperlink"/>
      <w:u w:val="single"/>
    </w:rPr>
  </w:style>
  <w:style w:type="character" w:customStyle="1" w:styleId="apple-converted-space">
    <w:name w:val="apple-converted-space"/>
    <w:basedOn w:val="DefaultParagraphFont"/>
    <w:rsid w:val="00AB047F"/>
  </w:style>
  <w:style w:type="character" w:customStyle="1" w:styleId="StyleLatinArialComplexArial11pt">
    <w:name w:val="Style (Latin) Arial (Complex) Arial 11 pt"/>
    <w:basedOn w:val="DefaultParagraphFont"/>
    <w:rsid w:val="008503E9"/>
    <w:rPr>
      <w:rFonts w:ascii="Arial" w:hAnsi="Arial" w:cs="Arial" w:hint="default"/>
    </w:rPr>
  </w:style>
  <w:style w:type="paragraph" w:customStyle="1" w:styleId="Subhead2">
    <w:name w:val="Subhead 2"/>
    <w:basedOn w:val="Normal"/>
    <w:qFormat/>
    <w:rsid w:val="004624EC"/>
    <w:pPr>
      <w:spacing w:before="360"/>
    </w:pPr>
    <w:rPr>
      <w:b/>
      <w:caps/>
      <w:color w:val="4F81BD" w:themeColor="accent1"/>
      <w:sz w:val="24"/>
      <w:szCs w:val="24"/>
    </w:rPr>
  </w:style>
  <w:style w:type="character" w:customStyle="1" w:styleId="Heading3Char">
    <w:name w:val="Heading 3 Char"/>
    <w:basedOn w:val="DefaultParagraphFont"/>
    <w:link w:val="Heading3"/>
    <w:uiPriority w:val="9"/>
    <w:rsid w:val="00BF1500"/>
    <w:rPr>
      <w:rFonts w:ascii="Arial" w:eastAsiaTheme="majorEastAsia" w:hAnsi="Arial" w:cstheme="majorBidi"/>
      <w:b/>
      <w:szCs w:val="24"/>
    </w:rPr>
  </w:style>
  <w:style w:type="character" w:customStyle="1" w:styleId="normaltextrun">
    <w:name w:val="normaltextrun"/>
    <w:basedOn w:val="DefaultParagraphFont"/>
    <w:rsid w:val="00D8045B"/>
  </w:style>
  <w:style w:type="paragraph" w:styleId="Revision">
    <w:name w:val="Revision"/>
    <w:hidden/>
    <w:uiPriority w:val="99"/>
    <w:semiHidden/>
    <w:rsid w:val="004D11BB"/>
    <w:rPr>
      <w:rFonts w:ascii="Arial" w:hAnsi="Arial"/>
    </w:rPr>
  </w:style>
  <w:style w:type="paragraph" w:styleId="Caption">
    <w:name w:val="caption"/>
    <w:basedOn w:val="Normal"/>
    <w:next w:val="Normal"/>
    <w:uiPriority w:val="35"/>
    <w:unhideWhenUsed/>
    <w:qFormat/>
    <w:rsid w:val="00B75452"/>
    <w:pPr>
      <w:spacing w:before="120"/>
    </w:pPr>
    <w:rPr>
      <w:i/>
      <w:iCs/>
      <w:szCs w:val="18"/>
    </w:rPr>
  </w:style>
  <w:style w:type="table" w:styleId="PlainTable1">
    <w:name w:val="Plain Table 1"/>
    <w:basedOn w:val="TableNormal"/>
    <w:uiPriority w:val="41"/>
    <w:rsid w:val="009A38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4888">
      <w:bodyDiv w:val="1"/>
      <w:marLeft w:val="0"/>
      <w:marRight w:val="0"/>
      <w:marTop w:val="0"/>
      <w:marBottom w:val="0"/>
      <w:divBdr>
        <w:top w:val="none" w:sz="0" w:space="0" w:color="auto"/>
        <w:left w:val="none" w:sz="0" w:space="0" w:color="auto"/>
        <w:bottom w:val="none" w:sz="0" w:space="0" w:color="auto"/>
        <w:right w:val="none" w:sz="0" w:space="0" w:color="auto"/>
      </w:divBdr>
    </w:div>
    <w:div w:id="155546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ohiodas.sharepoint.com/sites/EDUOECDataTeam/Shared%20Documents/General/Annual%20Performance%20Report/Indicator%20Target%20Setting/Indicator%20Fact%20Sheets/Indicators%2015%20&amp;%2016/Data/Indicator%2016%20visualizations.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ohiodas.sharepoint.com/sites/EDUOECDataTeam/Shared%20Documents/General/Annual%20Performance%20Report/Indicator%20Target%20Setting/Indicator%20Fact%20Sheets/Indicators%2015%20&amp;%2016/Data/Indicator%2016%20visualization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r>
              <a:rPr lang="en-US" sz="1100" b="1"/>
              <a:t>Indicator 16: Mediation Agreements</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
              <a:ea typeface="+mn-ea"/>
              <a:cs typeface="+mn-cs"/>
            </a:defRPr>
          </a:pPr>
          <a:endParaRPr lang="en-US"/>
        </a:p>
      </c:txPr>
    </c:title>
    <c:autoTitleDeleted val="0"/>
    <c:plotArea>
      <c:layout/>
      <c:lineChart>
        <c:grouping val="standard"/>
        <c:varyColors val="0"/>
        <c:ser>
          <c:idx val="0"/>
          <c:order val="0"/>
          <c:tx>
            <c:strRef>
              <c:f>'Ind 16'!$A$17</c:f>
              <c:strCache>
                <c:ptCount val="1"/>
                <c:pt idx="0">
                  <c:v>Data</c:v>
                </c:pt>
              </c:strCache>
            </c:strRef>
          </c:tx>
          <c:spPr>
            <a:ln w="28575" cap="rnd">
              <a:solidFill>
                <a:schemeClr val="tx1">
                  <a:lumMod val="65000"/>
                  <a:lumOff val="35000"/>
                </a:schemeClr>
              </a:solidFill>
              <a:round/>
            </a:ln>
            <a:effectLst/>
          </c:spPr>
          <c:marker>
            <c:symbol val="circle"/>
            <c:size val="5"/>
            <c:spPr>
              <a:solidFill>
                <a:schemeClr val="tx1">
                  <a:lumMod val="65000"/>
                  <a:lumOff val="35000"/>
                </a:schemeClr>
              </a:solidFill>
              <a:ln w="9525">
                <a:solidFill>
                  <a:schemeClr val="tx1">
                    <a:lumMod val="65000"/>
                    <a:lumOff val="35000"/>
                  </a:schemeClr>
                </a:solidFill>
              </a:ln>
              <a:effectLst/>
            </c:spPr>
          </c:marker>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 16'!$B$16:$G$16</c:f>
              <c:strCache>
                <c:ptCount val="6"/>
                <c:pt idx="0">
                  <c:v>2014-2015</c:v>
                </c:pt>
                <c:pt idx="1">
                  <c:v>2015-2016</c:v>
                </c:pt>
                <c:pt idx="2">
                  <c:v>2016-2017</c:v>
                </c:pt>
                <c:pt idx="3">
                  <c:v>2017-2018</c:v>
                </c:pt>
                <c:pt idx="4">
                  <c:v>2018-2019</c:v>
                </c:pt>
                <c:pt idx="5">
                  <c:v>2019-2020</c:v>
                </c:pt>
              </c:strCache>
            </c:strRef>
          </c:cat>
          <c:val>
            <c:numRef>
              <c:f>'Ind 16'!$B$17:$G$17</c:f>
              <c:numCache>
                <c:formatCode>0.00%</c:formatCode>
                <c:ptCount val="6"/>
                <c:pt idx="0">
                  <c:v>0.72970000000000002</c:v>
                </c:pt>
                <c:pt idx="1">
                  <c:v>0.75839999999999996</c:v>
                </c:pt>
                <c:pt idx="2">
                  <c:v>0.76319999999999999</c:v>
                </c:pt>
                <c:pt idx="3">
                  <c:v>0.79559999999999997</c:v>
                </c:pt>
                <c:pt idx="4">
                  <c:v>0.81759999999999999</c:v>
                </c:pt>
                <c:pt idx="5">
                  <c:v>0.8</c:v>
                </c:pt>
              </c:numCache>
            </c:numRef>
          </c:val>
          <c:smooth val="0"/>
          <c:extLst>
            <c:ext xmlns:c16="http://schemas.microsoft.com/office/drawing/2014/chart" uri="{C3380CC4-5D6E-409C-BE32-E72D297353CC}">
              <c16:uniqueId val="{00000000-0FB0-41DF-A74F-8E2A59E7AC32}"/>
            </c:ext>
          </c:extLst>
        </c:ser>
        <c:dLbls>
          <c:showLegendKey val="0"/>
          <c:showVal val="0"/>
          <c:showCatName val="0"/>
          <c:showSerName val="0"/>
          <c:showPercent val="0"/>
          <c:showBubbleSize val="0"/>
        </c:dLbls>
        <c:marker val="1"/>
        <c:smooth val="0"/>
        <c:axId val="1214439112"/>
        <c:axId val="1215442312"/>
      </c:lineChart>
      <c:catAx>
        <c:axId val="12144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
                <a:ea typeface="+mn-ea"/>
                <a:cs typeface="+mn-cs"/>
              </a:defRPr>
            </a:pPr>
            <a:endParaRPr lang="en-US"/>
          </a:p>
        </c:txPr>
        <c:crossAx val="1215442312"/>
        <c:crosses val="autoZero"/>
        <c:auto val="1"/>
        <c:lblAlgn val="ctr"/>
        <c:lblOffset val="100"/>
        <c:noMultiLvlLbl val="0"/>
      </c:catAx>
      <c:valAx>
        <c:axId val="1215442312"/>
        <c:scaling>
          <c:orientation val="minMax"/>
        </c:scaling>
        <c:delete val="1"/>
        <c:axPos val="l"/>
        <c:numFmt formatCode="0.00%" sourceLinked="1"/>
        <c:majorTickMark val="none"/>
        <c:minorTickMark val="none"/>
        <c:tickLblPos val="nextTo"/>
        <c:crossAx val="12144391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Arial "/>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100" b="1"/>
              <a:t>Indicator 16: Mediation Agreements</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barChart>
        <c:barDir val="col"/>
        <c:grouping val="clustered"/>
        <c:varyColors val="0"/>
        <c:ser>
          <c:idx val="2"/>
          <c:order val="2"/>
          <c:tx>
            <c:strRef>
              <c:f>'Ind 16'!$A$4</c:f>
              <c:strCache>
                <c:ptCount val="1"/>
                <c:pt idx="0">
                  <c:v>Data</c:v>
                </c:pt>
              </c:strCache>
            </c:strRef>
          </c:tx>
          <c:spPr>
            <a:pattFill prst="narVert">
              <a:fgClr>
                <a:schemeClr val="bg1"/>
              </a:fgClr>
              <a:bgClr>
                <a:srgbClr val="146401"/>
              </a:bgClr>
            </a:pattFill>
            <a:ln>
              <a:noFill/>
            </a:ln>
            <a:effectLst/>
          </c:spPr>
          <c:invertIfNegative val="0"/>
          <c:dPt>
            <c:idx val="0"/>
            <c:invertIfNegative val="0"/>
            <c:bubble3D val="0"/>
            <c:spPr>
              <a:pattFill prst="narHorz">
                <a:fgClr>
                  <a:schemeClr val="bg1"/>
                </a:fgClr>
                <a:bgClr>
                  <a:srgbClr val="953735"/>
                </a:bgClr>
              </a:pattFill>
              <a:ln>
                <a:noFill/>
              </a:ln>
              <a:effectLst/>
            </c:spPr>
            <c:extLst>
              <c:ext xmlns:c16="http://schemas.microsoft.com/office/drawing/2014/chart" uri="{C3380CC4-5D6E-409C-BE32-E72D297353CC}">
                <c16:uniqueId val="{00000001-7500-4C31-9D5E-54F71F71A85A}"/>
              </c:ext>
            </c:extLst>
          </c:dPt>
          <c:dPt>
            <c:idx val="1"/>
            <c:invertIfNegative val="0"/>
            <c:bubble3D val="0"/>
            <c:spPr>
              <a:pattFill prst="narVert">
                <a:fgClr>
                  <a:schemeClr val="bg1"/>
                </a:fgClr>
                <a:bgClr>
                  <a:srgbClr val="146401"/>
                </a:bgClr>
              </a:pattFill>
              <a:ln>
                <a:noFill/>
              </a:ln>
              <a:effectLst/>
            </c:spPr>
            <c:extLst>
              <c:ext xmlns:c16="http://schemas.microsoft.com/office/drawing/2014/chart" uri="{C3380CC4-5D6E-409C-BE32-E72D297353CC}">
                <c16:uniqueId val="{00000003-7500-4C31-9D5E-54F71F71A85A}"/>
              </c:ext>
            </c:extLst>
          </c:dPt>
          <c:dPt>
            <c:idx val="2"/>
            <c:invertIfNegative val="0"/>
            <c:bubble3D val="0"/>
            <c:spPr>
              <a:pattFill prst="narVert">
                <a:fgClr>
                  <a:schemeClr val="bg1"/>
                </a:fgClr>
                <a:bgClr>
                  <a:srgbClr val="146401"/>
                </a:bgClr>
              </a:pattFill>
              <a:ln>
                <a:noFill/>
              </a:ln>
              <a:effectLst/>
            </c:spPr>
            <c:extLst>
              <c:ext xmlns:c16="http://schemas.microsoft.com/office/drawing/2014/chart" uri="{C3380CC4-5D6E-409C-BE32-E72D297353CC}">
                <c16:uniqueId val="{00000005-7500-4C31-9D5E-54F71F71A85A}"/>
              </c:ext>
            </c:extLst>
          </c:dPt>
          <c:dPt>
            <c:idx val="3"/>
            <c:invertIfNegative val="0"/>
            <c:bubble3D val="0"/>
            <c:spPr>
              <a:pattFill prst="narVert">
                <a:fgClr>
                  <a:schemeClr val="bg1"/>
                </a:fgClr>
                <a:bgClr>
                  <a:srgbClr val="146401"/>
                </a:bgClr>
              </a:pattFill>
              <a:ln>
                <a:noFill/>
              </a:ln>
              <a:effectLst/>
            </c:spPr>
            <c:extLst>
              <c:ext xmlns:c16="http://schemas.microsoft.com/office/drawing/2014/chart" uri="{C3380CC4-5D6E-409C-BE32-E72D297353CC}">
                <c16:uniqueId val="{00000007-7500-4C31-9D5E-54F71F71A85A}"/>
              </c:ext>
            </c:extLst>
          </c:dPt>
          <c:dLbls>
            <c:spPr>
              <a:solidFill>
                <a:schemeClr val="bg1"/>
              </a:solid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 16'!$B$1:$G$1</c:f>
              <c:strCache>
                <c:ptCount val="6"/>
                <c:pt idx="0">
                  <c:v>2014-2015</c:v>
                </c:pt>
                <c:pt idx="1">
                  <c:v>2015-2016</c:v>
                </c:pt>
                <c:pt idx="2">
                  <c:v>2016-2017</c:v>
                </c:pt>
                <c:pt idx="3">
                  <c:v>2017-2018</c:v>
                </c:pt>
                <c:pt idx="4">
                  <c:v>2018-2019</c:v>
                </c:pt>
                <c:pt idx="5">
                  <c:v>2019-2020</c:v>
                </c:pt>
              </c:strCache>
            </c:strRef>
          </c:cat>
          <c:val>
            <c:numRef>
              <c:f>'Ind 16'!$B$4:$G$4</c:f>
              <c:numCache>
                <c:formatCode>0.00%</c:formatCode>
                <c:ptCount val="6"/>
                <c:pt idx="0">
                  <c:v>0.72970000000000002</c:v>
                </c:pt>
                <c:pt idx="1">
                  <c:v>0.75839999999999996</c:v>
                </c:pt>
                <c:pt idx="2">
                  <c:v>0.76319999999999999</c:v>
                </c:pt>
                <c:pt idx="3">
                  <c:v>0.79559999999999997</c:v>
                </c:pt>
                <c:pt idx="4">
                  <c:v>0.81759999999999999</c:v>
                </c:pt>
                <c:pt idx="5">
                  <c:v>0.8</c:v>
                </c:pt>
              </c:numCache>
            </c:numRef>
          </c:val>
          <c:extLst>
            <c:ext xmlns:c16="http://schemas.microsoft.com/office/drawing/2014/chart" uri="{C3380CC4-5D6E-409C-BE32-E72D297353CC}">
              <c16:uniqueId val="{00000008-7500-4C31-9D5E-54F71F71A85A}"/>
            </c:ext>
          </c:extLst>
        </c:ser>
        <c:dLbls>
          <c:showLegendKey val="0"/>
          <c:showVal val="0"/>
          <c:showCatName val="0"/>
          <c:showSerName val="0"/>
          <c:showPercent val="0"/>
          <c:showBubbleSize val="0"/>
        </c:dLbls>
        <c:gapWidth val="219"/>
        <c:axId val="1989882848"/>
        <c:axId val="1989897824"/>
      </c:barChart>
      <c:lineChart>
        <c:grouping val="standard"/>
        <c:varyColors val="0"/>
        <c:ser>
          <c:idx val="0"/>
          <c:order val="0"/>
          <c:tx>
            <c:strRef>
              <c:f>'Ind 16'!$A$2</c:f>
              <c:strCache>
                <c:ptCount val="1"/>
                <c:pt idx="0">
                  <c:v>Lower Limit</c:v>
                </c:pt>
              </c:strCache>
            </c:strRef>
          </c:tx>
          <c:spPr>
            <a:ln w="28575" cap="rnd">
              <a:solidFill>
                <a:sysClr val="windowText" lastClr="000000"/>
              </a:solidFill>
              <a:prstDash val="sysDot"/>
              <a:round/>
            </a:ln>
            <a:effectLst/>
          </c:spPr>
          <c:marker>
            <c:symbol val="circle"/>
            <c:size val="5"/>
            <c:spPr>
              <a:solidFill>
                <a:schemeClr val="tx1"/>
              </a:solidFill>
              <a:ln w="9525">
                <a:solidFill>
                  <a:sysClr val="windowText" lastClr="000000"/>
                </a:solidFill>
                <a:prstDash val="sysDot"/>
              </a:ln>
              <a:effectLst/>
            </c:spPr>
          </c:marker>
          <c:dLbls>
            <c:spPr>
              <a:solidFill>
                <a:schemeClr val="bg1"/>
              </a:solid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 16'!$B$1:$G$1</c:f>
              <c:strCache>
                <c:ptCount val="6"/>
                <c:pt idx="0">
                  <c:v>2014-2015</c:v>
                </c:pt>
                <c:pt idx="1">
                  <c:v>2015-2016</c:v>
                </c:pt>
                <c:pt idx="2">
                  <c:v>2016-2017</c:v>
                </c:pt>
                <c:pt idx="3">
                  <c:v>2017-2018</c:v>
                </c:pt>
                <c:pt idx="4">
                  <c:v>2018-2019</c:v>
                </c:pt>
                <c:pt idx="5">
                  <c:v>2019-2020</c:v>
                </c:pt>
              </c:strCache>
            </c:strRef>
          </c:cat>
          <c:val>
            <c:numRef>
              <c:f>'Ind 16'!$B$2:$G$2</c:f>
              <c:numCache>
                <c:formatCode>0.00%</c:formatCode>
                <c:ptCount val="6"/>
                <c:pt idx="0">
                  <c:v>0.73</c:v>
                </c:pt>
                <c:pt idx="1">
                  <c:v>0.74</c:v>
                </c:pt>
                <c:pt idx="2">
                  <c:v>0.75</c:v>
                </c:pt>
                <c:pt idx="3">
                  <c:v>0.76</c:v>
                </c:pt>
                <c:pt idx="4">
                  <c:v>0.77</c:v>
                </c:pt>
                <c:pt idx="5">
                  <c:v>0.77</c:v>
                </c:pt>
              </c:numCache>
            </c:numRef>
          </c:val>
          <c:smooth val="0"/>
          <c:extLst>
            <c:ext xmlns:c16="http://schemas.microsoft.com/office/drawing/2014/chart" uri="{C3380CC4-5D6E-409C-BE32-E72D297353CC}">
              <c16:uniqueId val="{00000009-7500-4C31-9D5E-54F71F71A85A}"/>
            </c:ext>
          </c:extLst>
        </c:ser>
        <c:ser>
          <c:idx val="1"/>
          <c:order val="1"/>
          <c:tx>
            <c:strRef>
              <c:f>'Ind 16'!$A$3</c:f>
              <c:strCache>
                <c:ptCount val="1"/>
                <c:pt idx="0">
                  <c:v>Upper Limit</c:v>
                </c:pt>
              </c:strCache>
            </c:strRef>
          </c:tx>
          <c:spPr>
            <a:ln w="28575" cap="rnd">
              <a:solidFill>
                <a:sysClr val="windowText" lastClr="000000"/>
              </a:solidFill>
              <a:prstDash val="sysDot"/>
              <a:round/>
            </a:ln>
            <a:effectLst/>
          </c:spPr>
          <c:marker>
            <c:symbol val="circle"/>
            <c:size val="5"/>
            <c:spPr>
              <a:solidFill>
                <a:schemeClr val="tx1"/>
              </a:solidFill>
              <a:ln w="9525">
                <a:solidFill>
                  <a:sysClr val="windowText" lastClr="000000"/>
                </a:solidFill>
                <a:prstDash val="sysDot"/>
              </a:ln>
              <a:effectLst/>
            </c:spPr>
          </c:marker>
          <c:dPt>
            <c:idx val="0"/>
            <c:marker>
              <c:symbol val="circle"/>
              <c:size val="5"/>
              <c:spPr>
                <a:solidFill>
                  <a:schemeClr val="tx1"/>
                </a:solidFill>
                <a:ln w="9525">
                  <a:solidFill>
                    <a:sysClr val="windowText" lastClr="000000"/>
                  </a:solidFill>
                  <a:prstDash val="sysDot"/>
                </a:ln>
                <a:effectLst/>
              </c:spPr>
            </c:marker>
            <c:bubble3D val="0"/>
            <c:spPr>
              <a:ln w="28575" cap="rnd">
                <a:solidFill>
                  <a:sysClr val="windowText" lastClr="000000"/>
                </a:solidFill>
                <a:prstDash val="sysDot"/>
                <a:round/>
              </a:ln>
              <a:effectLst/>
            </c:spPr>
            <c:extLst>
              <c:ext xmlns:c16="http://schemas.microsoft.com/office/drawing/2014/chart" uri="{C3380CC4-5D6E-409C-BE32-E72D297353CC}">
                <c16:uniqueId val="{0000000B-7500-4C31-9D5E-54F71F71A85A}"/>
              </c:ext>
            </c:extLst>
          </c:dPt>
          <c:dPt>
            <c:idx val="1"/>
            <c:marker>
              <c:symbol val="circle"/>
              <c:size val="5"/>
              <c:spPr>
                <a:solidFill>
                  <a:schemeClr val="tx1"/>
                </a:solidFill>
                <a:ln w="9525">
                  <a:solidFill>
                    <a:sysClr val="windowText" lastClr="000000"/>
                  </a:solidFill>
                  <a:prstDash val="sysDot"/>
                </a:ln>
                <a:effectLst/>
              </c:spPr>
            </c:marker>
            <c:bubble3D val="0"/>
            <c:spPr>
              <a:ln w="28575" cap="rnd">
                <a:solidFill>
                  <a:sysClr val="windowText" lastClr="000000"/>
                </a:solidFill>
                <a:prstDash val="sysDot"/>
                <a:round/>
              </a:ln>
              <a:effectLst/>
            </c:spPr>
            <c:extLst>
              <c:ext xmlns:c16="http://schemas.microsoft.com/office/drawing/2014/chart" uri="{C3380CC4-5D6E-409C-BE32-E72D297353CC}">
                <c16:uniqueId val="{0000000D-7500-4C31-9D5E-54F71F71A85A}"/>
              </c:ext>
            </c:extLst>
          </c:dPt>
          <c:dPt>
            <c:idx val="2"/>
            <c:marker>
              <c:symbol val="circle"/>
              <c:size val="5"/>
              <c:spPr>
                <a:solidFill>
                  <a:schemeClr val="tx1"/>
                </a:solidFill>
                <a:ln w="9525">
                  <a:solidFill>
                    <a:sysClr val="windowText" lastClr="000000"/>
                  </a:solidFill>
                  <a:prstDash val="sysDot"/>
                </a:ln>
                <a:effectLst/>
              </c:spPr>
            </c:marker>
            <c:bubble3D val="0"/>
            <c:spPr>
              <a:ln w="28575" cap="rnd">
                <a:solidFill>
                  <a:sysClr val="windowText" lastClr="000000"/>
                </a:solidFill>
                <a:prstDash val="sysDot"/>
                <a:round/>
              </a:ln>
              <a:effectLst/>
            </c:spPr>
            <c:extLst>
              <c:ext xmlns:c16="http://schemas.microsoft.com/office/drawing/2014/chart" uri="{C3380CC4-5D6E-409C-BE32-E72D297353CC}">
                <c16:uniqueId val="{0000000F-7500-4C31-9D5E-54F71F71A85A}"/>
              </c:ext>
            </c:extLst>
          </c:dPt>
          <c:dPt>
            <c:idx val="3"/>
            <c:marker>
              <c:symbol val="circle"/>
              <c:size val="5"/>
              <c:spPr>
                <a:solidFill>
                  <a:schemeClr val="tx1"/>
                </a:solidFill>
                <a:ln w="9525">
                  <a:solidFill>
                    <a:sysClr val="windowText" lastClr="000000"/>
                  </a:solidFill>
                  <a:prstDash val="sysDot"/>
                </a:ln>
                <a:effectLst/>
              </c:spPr>
            </c:marker>
            <c:bubble3D val="0"/>
            <c:spPr>
              <a:ln w="28575" cap="rnd">
                <a:solidFill>
                  <a:sysClr val="windowText" lastClr="000000"/>
                </a:solidFill>
                <a:prstDash val="sysDot"/>
                <a:round/>
              </a:ln>
              <a:effectLst/>
            </c:spPr>
            <c:extLst>
              <c:ext xmlns:c16="http://schemas.microsoft.com/office/drawing/2014/chart" uri="{C3380CC4-5D6E-409C-BE32-E72D297353CC}">
                <c16:uniqueId val="{00000011-7500-4C31-9D5E-54F71F71A85A}"/>
              </c:ext>
            </c:extLst>
          </c:dPt>
          <c:dLbls>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'Ind 16'!$B$1:$G$1</c:f>
              <c:strCache>
                <c:ptCount val="6"/>
                <c:pt idx="0">
                  <c:v>2014-2015</c:v>
                </c:pt>
                <c:pt idx="1">
                  <c:v>2015-2016</c:v>
                </c:pt>
                <c:pt idx="2">
                  <c:v>2016-2017</c:v>
                </c:pt>
                <c:pt idx="3">
                  <c:v>2017-2018</c:v>
                </c:pt>
                <c:pt idx="4">
                  <c:v>2018-2019</c:v>
                </c:pt>
                <c:pt idx="5">
                  <c:v>2019-2020</c:v>
                </c:pt>
              </c:strCache>
            </c:strRef>
          </c:cat>
          <c:val>
            <c:numRef>
              <c:f>'Ind 16'!$B$3:$G$3</c:f>
              <c:numCache>
                <c:formatCode>0.00%</c:formatCode>
                <c:ptCount val="6"/>
                <c:pt idx="0">
                  <c:v>0.81</c:v>
                </c:pt>
                <c:pt idx="1">
                  <c:v>0.82</c:v>
                </c:pt>
                <c:pt idx="2">
                  <c:v>0.83</c:v>
                </c:pt>
                <c:pt idx="3">
                  <c:v>0.84</c:v>
                </c:pt>
                <c:pt idx="4">
                  <c:v>0.85</c:v>
                </c:pt>
                <c:pt idx="5">
                  <c:v>0.85</c:v>
                </c:pt>
              </c:numCache>
            </c:numRef>
          </c:val>
          <c:smooth val="0"/>
          <c:extLst>
            <c:ext xmlns:c16="http://schemas.microsoft.com/office/drawing/2014/chart" uri="{C3380CC4-5D6E-409C-BE32-E72D297353CC}">
              <c16:uniqueId val="{00000012-7500-4C31-9D5E-54F71F71A85A}"/>
            </c:ext>
          </c:extLst>
        </c:ser>
        <c:dLbls>
          <c:showLegendKey val="0"/>
          <c:showVal val="0"/>
          <c:showCatName val="0"/>
          <c:showSerName val="0"/>
          <c:showPercent val="0"/>
          <c:showBubbleSize val="0"/>
        </c:dLbls>
        <c:marker val="1"/>
        <c:smooth val="0"/>
        <c:axId val="1989882848"/>
        <c:axId val="1989897824"/>
      </c:lineChart>
      <c:catAx>
        <c:axId val="1989882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989897824"/>
        <c:crosses val="autoZero"/>
        <c:auto val="1"/>
        <c:lblAlgn val="ctr"/>
        <c:lblOffset val="100"/>
        <c:noMultiLvlLbl val="0"/>
      </c:catAx>
      <c:valAx>
        <c:axId val="1989897824"/>
        <c:scaling>
          <c:orientation val="minMax"/>
        </c:scaling>
        <c:delete val="1"/>
        <c:axPos val="l"/>
        <c:numFmt formatCode="0.00%" sourceLinked="1"/>
        <c:majorTickMark val="none"/>
        <c:minorTickMark val="none"/>
        <c:tickLblPos val="nextTo"/>
        <c:crossAx val="19898828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6273F30304947979A4DA2A3C86D4D" ma:contentTypeVersion="9" ma:contentTypeDescription="Create a new document." ma:contentTypeScope="" ma:versionID="fd3737be4f7864193dbc08ed3702df96">
  <xsd:schema xmlns:xsd="http://www.w3.org/2001/XMLSchema" xmlns:xs="http://www.w3.org/2001/XMLSchema" xmlns:p="http://schemas.microsoft.com/office/2006/metadata/properties" xmlns:ns2="64a641e3-aed5-4e35-8843-c4d9e14eafb2" xmlns:ns3="6b30db70-af77-40f7-bcb7-3a1ec583ab9a" targetNamespace="http://schemas.microsoft.com/office/2006/metadata/properties" ma:root="true" ma:fieldsID="51b72642bebf60a401f9ef3b3c8d982f" ns2:_="" ns3:_="">
    <xsd:import namespace="64a641e3-aed5-4e35-8843-c4d9e14eafb2"/>
    <xsd:import namespace="6b30db70-af77-40f7-bcb7-3a1ec583ab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review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641e3-aed5-4e35-8843-c4d9e14ea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reviewed" ma:index="16" nillable="true" ma:displayName="reviewed" ma:format="Dropdown" ma:internalName="reviewe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30db70-af77-40f7-bcb7-3a1ec583ab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6b30db70-af77-40f7-bcb7-3a1ec583ab9a">
      <UserInfo>
        <DisplayName>Oblak, Veronica</DisplayName>
        <AccountId>377</AccountId>
        <AccountType/>
      </UserInfo>
      <UserInfo>
        <DisplayName>Beard, Shelley</DisplayName>
        <AccountId>40</AccountId>
        <AccountType/>
      </UserInfo>
      <UserInfo>
        <DisplayName>Callahan, Parise</DisplayName>
        <AccountId>66</AccountId>
        <AccountType/>
      </UserInfo>
      <UserInfo>
        <DisplayName>Coston, Caroline</DisplayName>
        <AccountId>78</AccountId>
        <AccountType/>
      </UserInfo>
      <UserInfo>
        <DisplayName>Drvota, Monica</DisplayName>
        <AccountId>44</AccountId>
        <AccountType/>
      </UserInfo>
      <UserInfo>
        <DisplayName>Petrarca, Joseph</DisplayName>
        <AccountId>12</AccountId>
        <AccountType/>
      </UserInfo>
      <UserInfo>
        <DisplayName>Baum, Rebecca</DisplayName>
        <AccountId>516</AccountId>
        <AccountType/>
      </UserInfo>
      <UserInfo>
        <DisplayName>Flowers, Megan</DisplayName>
        <AccountId>72</AccountId>
        <AccountType/>
      </UserInfo>
      <UserInfo>
        <DisplayName>Kleinman, Heidi</DisplayName>
        <AccountId>50</AccountId>
        <AccountType/>
      </UserInfo>
      <UserInfo>
        <DisplayName>Walker, Kelly</DisplayName>
        <AccountId>115</AccountId>
        <AccountType/>
      </UserInfo>
      <UserInfo>
        <DisplayName>Johnson, Karen</DisplayName>
        <AccountId>75</AccountId>
        <AccountType/>
      </UserInfo>
      <UserInfo>
        <DisplayName>Clingerman, Heather</DisplayName>
        <AccountId>107</AccountId>
        <AccountType/>
      </UserInfo>
      <UserInfo>
        <DisplayName>Schurch-Thomas, Tracy</DisplayName>
        <AccountId>76</AccountId>
        <AccountType/>
      </UserInfo>
      <UserInfo>
        <DisplayName>Waldron, Kara</DisplayName>
        <AccountId>46</AccountId>
        <AccountType/>
      </UserInfo>
      <UserInfo>
        <DisplayName>Odogwu, Michael</DisplayName>
        <AccountId>476</AccountId>
        <AccountType/>
      </UserInfo>
      <UserInfo>
        <DisplayName>Loesch, Matthew</DisplayName>
        <AccountId>305</AccountId>
        <AccountType/>
      </UserInfo>
      <UserInfo>
        <DisplayName>Horowitz-Moore, Jessica</DisplayName>
        <AccountId>446</AccountId>
        <AccountType/>
      </UserInfo>
      <UserInfo>
        <DisplayName>Siddens, Stephanie</DisplayName>
        <AccountId>62</AccountId>
        <AccountType/>
      </UserInfo>
      <UserInfo>
        <DisplayName>Shields, Jessica</DisplayName>
        <AccountId>160</AccountId>
        <AccountType/>
      </UserInfo>
      <UserInfo>
        <DisplayName>Singh, Immy</DisplayName>
        <AccountId>187</AccountId>
        <AccountType/>
      </UserInfo>
      <UserInfo>
        <DisplayName>Ginn, Crystal</DisplayName>
        <AccountId>106</AccountId>
        <AccountType/>
      </UserInfo>
      <UserInfo>
        <DisplayName>Poindexter, Nikki</DisplayName>
        <AccountId>81</AccountId>
        <AccountType/>
      </UserInfo>
      <UserInfo>
        <DisplayName>Loomis, Diane</DisplayName>
        <AccountId>6</AccountId>
        <AccountType/>
      </UserInfo>
      <UserInfo>
        <DisplayName>Grove, Wendy</DisplayName>
        <AccountId>127</AccountId>
        <AccountType/>
      </UserInfo>
      <UserInfo>
        <DisplayName>Mcglone, Megan</DisplayName>
        <AccountId>495</AccountId>
        <AccountType/>
      </UserInfo>
      <UserInfo>
        <DisplayName>Ward, Jo Hannah</DisplayName>
        <AccountId>45</AccountId>
        <AccountType/>
      </UserInfo>
    </SharedWithUsers>
    <reviewed xmlns="64a641e3-aed5-4e35-8843-c4d9e14eafb2" xsi:nil="true"/>
  </documentManagement>
</p:properties>
</file>

<file path=customXml/itemProps1.xml><?xml version="1.0" encoding="utf-8"?>
<ds:datastoreItem xmlns:ds="http://schemas.openxmlformats.org/officeDocument/2006/customXml" ds:itemID="{4C5276EF-F59B-40D8-AB90-2A0107828AAA}">
  <ds:schemaRefs>
    <ds:schemaRef ds:uri="http://schemas.openxmlformats.org/officeDocument/2006/bibliography"/>
  </ds:schemaRefs>
</ds:datastoreItem>
</file>

<file path=customXml/itemProps2.xml><?xml version="1.0" encoding="utf-8"?>
<ds:datastoreItem xmlns:ds="http://schemas.openxmlformats.org/officeDocument/2006/customXml" ds:itemID="{E79FF52F-1299-4C13-B4E8-C22B8772C3C5}">
  <ds:schemaRefs>
    <ds:schemaRef ds:uri="http://schemas.microsoft.com/sharepoint/v3/contenttype/forms"/>
  </ds:schemaRefs>
</ds:datastoreItem>
</file>

<file path=customXml/itemProps3.xml><?xml version="1.0" encoding="utf-8"?>
<ds:datastoreItem xmlns:ds="http://schemas.openxmlformats.org/officeDocument/2006/customXml" ds:itemID="{BCDFAECE-39DE-4371-8EA3-9063790BE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641e3-aed5-4e35-8843-c4d9e14eafb2"/>
    <ds:schemaRef ds:uri="6b30db70-af77-40f7-bcb7-3a1ec583a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0762EF-8326-4F17-962E-753E4664F635}">
  <ds:schemaRefs>
    <ds:schemaRef ds:uri="http://schemas.microsoft.com/office/2006/metadata/properties"/>
    <ds:schemaRef ds:uri="http://schemas.microsoft.com/office/infopath/2007/PartnerControls"/>
    <ds:schemaRef ds:uri="6b30db70-af77-40f7-bcb7-3a1ec583ab9a"/>
    <ds:schemaRef ds:uri="64a641e3-aed5-4e35-8843-c4d9e14eafb2"/>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897</Words>
  <Characters>5115</Characters>
  <Application>Microsoft Office Word</Application>
  <DocSecurity>0</DocSecurity>
  <Lines>42</Lines>
  <Paragraphs>11</Paragraphs>
  <ScaleCrop>false</ScaleCrop>
  <Company>Microsoft</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dc:creator>
  <cp:keywords/>
  <cp:lastModifiedBy>Rector, Ashley</cp:lastModifiedBy>
  <cp:revision>233</cp:revision>
  <cp:lastPrinted>2019-01-18T19:17:00Z</cp:lastPrinted>
  <dcterms:created xsi:type="dcterms:W3CDTF">2021-06-22T19:10:00Z</dcterms:created>
  <dcterms:modified xsi:type="dcterms:W3CDTF">2021-09-24T18:31:00Z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0x01010085C6273F30304947979A4DA2A3C86D4D</vt:lpwstr>
  </property>
  <property fmtid="{D5CDD505-2E9C-101B-9397-08002B2CF9AE}" pid="3" name="_dlc_DocIdItemGuid">
    <vt:lpwstr>2d79f8dd-5509-4d94-9ff5-049ce98bd56a</vt:lpwstr>
  </property>
  <property fmtid="{D5CDD505-2E9C-101B-9397-08002B2CF9AE}" pid="4" name="AuthorIds_UIVersion_4608">
    <vt:lpwstr>12</vt:lpwstr>
  </property>
  <property fmtid="{D5CDD505-2E9C-101B-9397-08002B2CF9AE}" pid="5" name="MSIP_Label_b320f288-ba83-4634-8624-b2a954eee516_Enabled">
    <vt:lpwstr>true</vt:lpwstr>
  </property>
  <property fmtid="{D5CDD505-2E9C-101B-9397-08002B2CF9AE}" pid="6" name="MSIP_Label_b320f288-ba83-4634-8624-b2a954eee516_SetDate">
    <vt:lpwstr>2021-05-02T13:21:47Z</vt:lpwstr>
  </property>
  <property fmtid="{D5CDD505-2E9C-101B-9397-08002B2CF9AE}" pid="7" name="MSIP_Label_b320f288-ba83-4634-8624-b2a954eee516_Method">
    <vt:lpwstr>Privileged</vt:lpwstr>
  </property>
  <property fmtid="{D5CDD505-2E9C-101B-9397-08002B2CF9AE}" pid="8" name="MSIP_Label_b320f288-ba83-4634-8624-b2a954eee516_Name">
    <vt:lpwstr>General</vt:lpwstr>
  </property>
  <property fmtid="{D5CDD505-2E9C-101B-9397-08002B2CF9AE}" pid="9" name="MSIP_Label_b320f288-ba83-4634-8624-b2a954eee516_SiteId">
    <vt:lpwstr>50f8fcc4-94d8-4f07-84eb-36ed57c7c8a2</vt:lpwstr>
  </property>
  <property fmtid="{D5CDD505-2E9C-101B-9397-08002B2CF9AE}" pid="10" name="MSIP_Label_b320f288-ba83-4634-8624-b2a954eee516_ActionId">
    <vt:lpwstr>6dc349f7-06dc-4c58-84a1-5c0d74dd979e</vt:lpwstr>
  </property>
  <property fmtid="{D5CDD505-2E9C-101B-9397-08002B2CF9AE}" pid="11" name="MSIP_Label_b320f288-ba83-4634-8624-b2a954eee516_ContentBits">
    <vt:lpwstr>0</vt:lpwstr>
  </property>
  <property fmtid="{D5CDD505-2E9C-101B-9397-08002B2CF9AE}" pid="12" name="Order">
    <vt:r8>66800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ies>
</file>