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3EFF" w14:textId="143DC3A2" w:rsidR="004B46C1" w:rsidRPr="00D3252E" w:rsidRDefault="00E26B07" w:rsidP="00E26B07">
      <w:pPr>
        <w:spacing w:after="0" w:line="240" w:lineRule="auto"/>
        <w:rPr>
          <w:rFonts w:ascii="Arial" w:hAnsi="Arial" w:cs="Arial"/>
          <w:b/>
          <w:sz w:val="28"/>
          <w:szCs w:val="28"/>
        </w:rPr>
      </w:pPr>
      <w:r w:rsidRPr="00D3252E">
        <w:rPr>
          <w:rFonts w:ascii="Arial" w:hAnsi="Arial" w:cs="Arial"/>
          <w:b/>
          <w:sz w:val="28"/>
          <w:szCs w:val="28"/>
        </w:rPr>
        <w:t>Ohio’s</w:t>
      </w:r>
      <w:r w:rsidR="007D01A6">
        <w:rPr>
          <w:rFonts w:ascii="Arial" w:hAnsi="Arial" w:cs="Arial"/>
          <w:b/>
          <w:sz w:val="28"/>
          <w:szCs w:val="28"/>
        </w:rPr>
        <w:t xml:space="preserve"> </w:t>
      </w:r>
      <w:r w:rsidR="00B3658D">
        <w:rPr>
          <w:rFonts w:ascii="Arial" w:hAnsi="Arial" w:cs="Arial"/>
          <w:b/>
          <w:sz w:val="28"/>
          <w:szCs w:val="28"/>
        </w:rPr>
        <w:t>202</w:t>
      </w:r>
      <w:r w:rsidR="002873B7">
        <w:rPr>
          <w:rFonts w:ascii="Arial" w:hAnsi="Arial" w:cs="Arial"/>
          <w:b/>
          <w:sz w:val="28"/>
          <w:szCs w:val="28"/>
        </w:rPr>
        <w:t>1</w:t>
      </w:r>
      <w:r w:rsidRPr="00D3252E">
        <w:rPr>
          <w:rFonts w:ascii="Arial" w:hAnsi="Arial" w:cs="Arial"/>
          <w:b/>
          <w:sz w:val="28"/>
          <w:szCs w:val="28"/>
        </w:rPr>
        <w:t xml:space="preserve"> Special Education Ratings Process</w:t>
      </w:r>
    </w:p>
    <w:p w14:paraId="7BF6901A" w14:textId="77777777" w:rsidR="00155D53" w:rsidRPr="00D3252E" w:rsidRDefault="00E114E1" w:rsidP="00155D53">
      <w:pPr>
        <w:jc w:val="center"/>
        <w:rPr>
          <w:rFonts w:ascii="Arial" w:hAnsi="Arial" w:cs="Arial"/>
        </w:rPr>
      </w:pPr>
      <w:r>
        <w:rPr>
          <w:rFonts w:ascii="Arial" w:hAnsi="Arial" w:cs="Arial"/>
        </w:rPr>
        <w:pict w14:anchorId="4AC1375F">
          <v:rect id="_x0000_i1025" style="width:468pt;height:1.8pt" o:hralign="center" o:hrstd="t" o:hr="t" fillcolor="#a0a0a0" stroked="f"/>
        </w:pict>
      </w:r>
    </w:p>
    <w:p w14:paraId="0DC7BA9F" w14:textId="77777777" w:rsidR="00155D53" w:rsidRPr="00155D53" w:rsidRDefault="00155D53" w:rsidP="007A0A70">
      <w:pPr>
        <w:shd w:val="clear" w:color="auto" w:fill="FFFFFF"/>
        <w:spacing w:before="120" w:after="120" w:line="240" w:lineRule="auto"/>
        <w:rPr>
          <w:rFonts w:ascii="Arial" w:eastAsia="Times New Roman" w:hAnsi="Arial" w:cs="Arial"/>
        </w:rPr>
      </w:pPr>
      <w:r w:rsidRPr="00155D53">
        <w:rPr>
          <w:rFonts w:ascii="Arial" w:eastAsia="Times New Roman" w:hAnsi="Arial" w:cs="Arial"/>
        </w:rPr>
        <w:t>The special education program in a district or school is the basis of success for students with disabilities. Annually, the Ohio Department of Education issues a rating on the performance of the special education program for each district and community school in our state. This is known as the Special Education Rating and meets federal requirements* for local education agencies that receive IDEA funding.</w:t>
      </w:r>
    </w:p>
    <w:p w14:paraId="424F25D3" w14:textId="3376EFED" w:rsidR="00155D53" w:rsidRPr="00155D53" w:rsidRDefault="00155D53" w:rsidP="007A0A70">
      <w:pPr>
        <w:shd w:val="clear" w:color="auto" w:fill="FFFFFF"/>
        <w:spacing w:before="120" w:after="120" w:line="240" w:lineRule="auto"/>
        <w:rPr>
          <w:rFonts w:ascii="Arial" w:eastAsia="Times New Roman" w:hAnsi="Arial" w:cs="Arial"/>
        </w:rPr>
      </w:pPr>
      <w:r w:rsidRPr="00155D53">
        <w:rPr>
          <w:rFonts w:ascii="Arial" w:eastAsia="Times New Roman" w:hAnsi="Arial" w:cs="Arial"/>
        </w:rPr>
        <w:t>The district rating evaluates the implementation of federal requirements, also called compliance measures</w:t>
      </w:r>
      <w:r w:rsidR="00480326">
        <w:rPr>
          <w:rFonts w:ascii="Arial" w:eastAsia="Times New Roman" w:hAnsi="Arial" w:cs="Arial"/>
        </w:rPr>
        <w:t>, as well as results for students with disabilities</w:t>
      </w:r>
      <w:r w:rsidRPr="00155D53">
        <w:rPr>
          <w:rFonts w:ascii="Arial" w:eastAsia="Times New Roman" w:hAnsi="Arial" w:cs="Arial"/>
        </w:rPr>
        <w:t>. The rating is one of the following:</w:t>
      </w:r>
    </w:p>
    <w:p w14:paraId="716AF51A" w14:textId="77777777" w:rsidR="00155D53" w:rsidRPr="00155D53" w:rsidRDefault="00155D53" w:rsidP="007A0A70">
      <w:pPr>
        <w:numPr>
          <w:ilvl w:val="0"/>
          <w:numId w:val="1"/>
        </w:numPr>
        <w:shd w:val="clear" w:color="auto" w:fill="FFFFFF"/>
        <w:spacing w:after="0" w:line="240" w:lineRule="auto"/>
        <w:rPr>
          <w:rFonts w:ascii="Arial" w:eastAsia="Times New Roman" w:hAnsi="Arial" w:cs="Arial"/>
        </w:rPr>
      </w:pPr>
      <w:r w:rsidRPr="00155D53">
        <w:rPr>
          <w:rFonts w:ascii="Arial" w:eastAsia="Times New Roman" w:hAnsi="Arial" w:cs="Arial"/>
        </w:rPr>
        <w:t xml:space="preserve">Meets </w:t>
      </w:r>
      <w:proofErr w:type="gramStart"/>
      <w:r w:rsidRPr="00155D53">
        <w:rPr>
          <w:rFonts w:ascii="Arial" w:eastAsia="Times New Roman" w:hAnsi="Arial" w:cs="Arial"/>
        </w:rPr>
        <w:t>Requirements;</w:t>
      </w:r>
      <w:proofErr w:type="gramEnd"/>
    </w:p>
    <w:p w14:paraId="2F49E467" w14:textId="77777777" w:rsidR="00155D53" w:rsidRPr="00155D53" w:rsidRDefault="00155D53" w:rsidP="007A0A70">
      <w:pPr>
        <w:numPr>
          <w:ilvl w:val="0"/>
          <w:numId w:val="1"/>
        </w:numPr>
        <w:shd w:val="clear" w:color="auto" w:fill="FFFFFF"/>
        <w:spacing w:after="0" w:line="240" w:lineRule="auto"/>
        <w:rPr>
          <w:rFonts w:ascii="Arial" w:eastAsia="Times New Roman" w:hAnsi="Arial" w:cs="Arial"/>
        </w:rPr>
      </w:pPr>
      <w:r w:rsidRPr="00155D53">
        <w:rPr>
          <w:rFonts w:ascii="Arial" w:eastAsia="Times New Roman" w:hAnsi="Arial" w:cs="Arial"/>
        </w:rPr>
        <w:t xml:space="preserve">Needs </w:t>
      </w:r>
      <w:proofErr w:type="gramStart"/>
      <w:r w:rsidRPr="00155D53">
        <w:rPr>
          <w:rFonts w:ascii="Arial" w:eastAsia="Times New Roman" w:hAnsi="Arial" w:cs="Arial"/>
        </w:rPr>
        <w:t>Assistance;</w:t>
      </w:r>
      <w:proofErr w:type="gramEnd"/>
    </w:p>
    <w:p w14:paraId="40CC03EE" w14:textId="77777777" w:rsidR="00155D53" w:rsidRPr="00155D53" w:rsidRDefault="00155D53" w:rsidP="007A0A70">
      <w:pPr>
        <w:numPr>
          <w:ilvl w:val="0"/>
          <w:numId w:val="1"/>
        </w:numPr>
        <w:shd w:val="clear" w:color="auto" w:fill="FFFFFF"/>
        <w:spacing w:after="0" w:line="240" w:lineRule="auto"/>
        <w:rPr>
          <w:rFonts w:ascii="Arial" w:eastAsia="Times New Roman" w:hAnsi="Arial" w:cs="Arial"/>
        </w:rPr>
      </w:pPr>
      <w:r w:rsidRPr="00155D53">
        <w:rPr>
          <w:rFonts w:ascii="Arial" w:eastAsia="Times New Roman" w:hAnsi="Arial" w:cs="Arial"/>
        </w:rPr>
        <w:t>Needs Intervention; or</w:t>
      </w:r>
    </w:p>
    <w:p w14:paraId="6DBFAA5C" w14:textId="77777777" w:rsidR="00155D53" w:rsidRPr="00155D53" w:rsidRDefault="00155D53" w:rsidP="007A0A70">
      <w:pPr>
        <w:numPr>
          <w:ilvl w:val="0"/>
          <w:numId w:val="1"/>
        </w:numPr>
        <w:shd w:val="clear" w:color="auto" w:fill="FFFFFF"/>
        <w:spacing w:after="0" w:line="240" w:lineRule="auto"/>
        <w:rPr>
          <w:rFonts w:ascii="Arial" w:eastAsia="Times New Roman" w:hAnsi="Arial" w:cs="Arial"/>
        </w:rPr>
      </w:pPr>
      <w:r w:rsidRPr="00155D53">
        <w:rPr>
          <w:rFonts w:ascii="Arial" w:eastAsia="Times New Roman" w:hAnsi="Arial" w:cs="Arial"/>
        </w:rPr>
        <w:t>Needs Substantial Intervention.</w:t>
      </w:r>
    </w:p>
    <w:p w14:paraId="6CF770A6" w14:textId="3AE8F459" w:rsidR="00155D53" w:rsidRDefault="00155D53" w:rsidP="007A0A70">
      <w:pPr>
        <w:shd w:val="clear" w:color="auto" w:fill="FFFFFF"/>
        <w:spacing w:before="120" w:after="120" w:line="240" w:lineRule="auto"/>
        <w:rPr>
          <w:rFonts w:ascii="Arial" w:eastAsia="Times New Roman" w:hAnsi="Arial" w:cs="Arial"/>
        </w:rPr>
      </w:pPr>
      <w:r w:rsidRPr="00155D53">
        <w:rPr>
          <w:rFonts w:ascii="Arial" w:eastAsia="Times New Roman" w:hAnsi="Arial" w:cs="Arial"/>
        </w:rPr>
        <w:t xml:space="preserve">Districts submit final special education program data through Ohio’s Education Management Information System (EMIS). The </w:t>
      </w:r>
      <w:r w:rsidR="00134047">
        <w:rPr>
          <w:rFonts w:ascii="Arial" w:eastAsia="Times New Roman" w:hAnsi="Arial" w:cs="Arial"/>
        </w:rPr>
        <w:t>D</w:t>
      </w:r>
      <w:r w:rsidRPr="00155D53">
        <w:rPr>
          <w:rFonts w:ascii="Arial" w:eastAsia="Times New Roman" w:hAnsi="Arial" w:cs="Arial"/>
        </w:rPr>
        <w:t xml:space="preserve">epartment used the data for the </w:t>
      </w:r>
      <w:r w:rsidR="006C13E8">
        <w:rPr>
          <w:rFonts w:ascii="Arial" w:eastAsia="Times New Roman" w:hAnsi="Arial" w:cs="Arial"/>
        </w:rPr>
        <w:t>201</w:t>
      </w:r>
      <w:r w:rsidR="00A82645">
        <w:rPr>
          <w:rFonts w:ascii="Arial" w:eastAsia="Times New Roman" w:hAnsi="Arial" w:cs="Arial"/>
        </w:rPr>
        <w:t>9</w:t>
      </w:r>
      <w:r w:rsidR="006C13E8">
        <w:rPr>
          <w:rFonts w:ascii="Arial" w:eastAsia="Times New Roman" w:hAnsi="Arial" w:cs="Arial"/>
        </w:rPr>
        <w:t>-20</w:t>
      </w:r>
      <w:r w:rsidR="00A82645">
        <w:rPr>
          <w:rFonts w:ascii="Arial" w:eastAsia="Times New Roman" w:hAnsi="Arial" w:cs="Arial"/>
        </w:rPr>
        <w:t>20</w:t>
      </w:r>
      <w:r w:rsidR="0007305A">
        <w:rPr>
          <w:rFonts w:ascii="Arial" w:eastAsia="Times New Roman" w:hAnsi="Arial" w:cs="Arial"/>
        </w:rPr>
        <w:t xml:space="preserve"> </w:t>
      </w:r>
      <w:r w:rsidRPr="00155D53">
        <w:rPr>
          <w:rFonts w:ascii="Arial" w:eastAsia="Times New Roman" w:hAnsi="Arial" w:cs="Arial"/>
        </w:rPr>
        <w:t xml:space="preserve">school year to create each </w:t>
      </w:r>
      <w:r w:rsidRPr="00504B5F">
        <w:rPr>
          <w:rFonts w:ascii="Arial" w:eastAsia="Times New Roman" w:hAnsi="Arial" w:cs="Arial"/>
        </w:rPr>
        <w:t>district’s Special Education Profile</w:t>
      </w:r>
      <w:r w:rsidRPr="00155D53">
        <w:rPr>
          <w:rFonts w:ascii="Arial" w:eastAsia="Times New Roman" w:hAnsi="Arial" w:cs="Arial"/>
        </w:rPr>
        <w:t>.</w:t>
      </w:r>
    </w:p>
    <w:p w14:paraId="764AA5B9" w14:textId="2668D9E8" w:rsidR="00480326" w:rsidRPr="006C13E8" w:rsidRDefault="00480326" w:rsidP="007A0A70">
      <w:pPr>
        <w:shd w:val="clear" w:color="auto" w:fill="FFFFFF"/>
        <w:spacing w:before="120" w:after="120" w:line="240" w:lineRule="auto"/>
        <w:rPr>
          <w:rFonts w:ascii="Arial" w:eastAsia="Times New Roman" w:hAnsi="Arial" w:cs="Arial"/>
          <w:color w:val="000000"/>
          <w:szCs w:val="21"/>
        </w:rPr>
      </w:pPr>
      <w:r>
        <w:rPr>
          <w:rFonts w:ascii="Arial" w:eastAsia="Times New Roman" w:hAnsi="Arial" w:cs="Arial"/>
        </w:rPr>
        <w:t xml:space="preserve">Special Education Ratings have historically been based on measures of procedural compliance. </w:t>
      </w:r>
      <w:r w:rsidRPr="006C13E8">
        <w:rPr>
          <w:rFonts w:ascii="Arial" w:eastAsia="Times New Roman" w:hAnsi="Arial" w:cs="Arial"/>
          <w:color w:val="000000"/>
          <w:szCs w:val="21"/>
        </w:rPr>
        <w:t xml:space="preserve">Starting in 2018, these ratings </w:t>
      </w:r>
      <w:r w:rsidR="00934560">
        <w:rPr>
          <w:rFonts w:ascii="Arial" w:eastAsia="Times New Roman" w:hAnsi="Arial" w:cs="Arial"/>
          <w:color w:val="000000"/>
          <w:szCs w:val="21"/>
        </w:rPr>
        <w:t>also</w:t>
      </w:r>
      <w:r w:rsidRPr="006C13E8">
        <w:rPr>
          <w:rFonts w:ascii="Arial" w:eastAsia="Times New Roman" w:hAnsi="Arial" w:cs="Arial"/>
          <w:color w:val="000000"/>
          <w:szCs w:val="21"/>
        </w:rPr>
        <w:t xml:space="preserve"> include</w:t>
      </w:r>
      <w:r w:rsidR="00934560">
        <w:rPr>
          <w:rFonts w:ascii="Arial" w:eastAsia="Times New Roman" w:hAnsi="Arial" w:cs="Arial"/>
          <w:color w:val="000000"/>
          <w:szCs w:val="21"/>
        </w:rPr>
        <w:t>d</w:t>
      </w:r>
      <w:r w:rsidRPr="006C13E8">
        <w:rPr>
          <w:rFonts w:ascii="Arial" w:eastAsia="Times New Roman" w:hAnsi="Arial" w:cs="Arial"/>
          <w:color w:val="000000"/>
          <w:szCs w:val="21"/>
        </w:rPr>
        <w:t xml:space="preserve"> measures of results for students with disabilities.</w:t>
      </w:r>
      <w:r w:rsidR="00D64A85">
        <w:rPr>
          <w:rFonts w:ascii="Arial" w:eastAsia="Times New Roman" w:hAnsi="Arial" w:cs="Arial"/>
          <w:color w:val="000000"/>
          <w:szCs w:val="21"/>
        </w:rPr>
        <w:t xml:space="preserve"> The 2021 Special Education Ratings do not include </w:t>
      </w:r>
      <w:r w:rsidR="005B5C6C">
        <w:rPr>
          <w:rFonts w:ascii="Arial" w:eastAsia="Times New Roman" w:hAnsi="Arial" w:cs="Arial"/>
          <w:color w:val="000000"/>
          <w:szCs w:val="21"/>
        </w:rPr>
        <w:t xml:space="preserve">data for statewide testing for 2019-2020 due to the ordered school-building closure </w:t>
      </w:r>
      <w:r w:rsidR="00662B51">
        <w:rPr>
          <w:rFonts w:ascii="Arial" w:eastAsia="Times New Roman" w:hAnsi="Arial" w:cs="Arial"/>
          <w:color w:val="000000"/>
          <w:szCs w:val="21"/>
        </w:rPr>
        <w:t>and the impact of</w:t>
      </w:r>
      <w:r w:rsidR="005B5C6C">
        <w:rPr>
          <w:rFonts w:ascii="Arial" w:eastAsia="Times New Roman" w:hAnsi="Arial" w:cs="Arial"/>
          <w:color w:val="000000"/>
          <w:szCs w:val="21"/>
        </w:rPr>
        <w:t xml:space="preserve"> the COVID-19 pandemic.</w:t>
      </w:r>
    </w:p>
    <w:p w14:paraId="0DBCDF99" w14:textId="77777777" w:rsidR="00021AE2" w:rsidRPr="00155D53" w:rsidRDefault="00021AE2" w:rsidP="007A0A70">
      <w:pPr>
        <w:shd w:val="clear" w:color="auto" w:fill="FFFFFF"/>
        <w:spacing w:before="120" w:after="120" w:line="240" w:lineRule="auto"/>
        <w:rPr>
          <w:rFonts w:ascii="Arial" w:eastAsia="Times New Roman" w:hAnsi="Arial" w:cs="Arial"/>
        </w:rPr>
      </w:pPr>
      <w:r w:rsidRPr="00155D53">
        <w:rPr>
          <w:rFonts w:ascii="Arial" w:eastAsia="Times New Roman" w:hAnsi="Arial" w:cs="Arial"/>
        </w:rPr>
        <w:t>*Section 300.600(a)(2) of the Individuals with Disabilities Education Improvement Act (IDEA)</w:t>
      </w:r>
    </w:p>
    <w:p w14:paraId="1EE1810C" w14:textId="36848311" w:rsidR="00480326" w:rsidRPr="00480326" w:rsidRDefault="00480326" w:rsidP="00C87BFF">
      <w:pPr>
        <w:shd w:val="clear" w:color="auto" w:fill="FFFFFF"/>
        <w:spacing w:before="240" w:after="120" w:line="240" w:lineRule="auto"/>
        <w:rPr>
          <w:rFonts w:ascii="Arial" w:eastAsia="Times New Roman" w:hAnsi="Arial" w:cs="Arial"/>
          <w:b/>
        </w:rPr>
      </w:pPr>
      <w:r>
        <w:rPr>
          <w:rFonts w:ascii="Arial" w:eastAsia="Times New Roman" w:hAnsi="Arial" w:cs="Arial"/>
          <w:b/>
          <w:color w:val="000000"/>
          <w:sz w:val="21"/>
          <w:szCs w:val="21"/>
        </w:rPr>
        <w:t>Rating Criteria</w:t>
      </w:r>
    </w:p>
    <w:p w14:paraId="20CC3C52" w14:textId="5632EA4F" w:rsidR="007A0A70" w:rsidRPr="007A0A70" w:rsidRDefault="00480326" w:rsidP="007A0A70">
      <w:pPr>
        <w:spacing w:before="120" w:after="120" w:line="240" w:lineRule="auto"/>
        <w:rPr>
          <w:rFonts w:ascii="Arial" w:eastAsia="Times New Roman" w:hAnsi="Arial" w:cs="Arial"/>
        </w:rPr>
      </w:pPr>
      <w:r w:rsidRPr="007A0A70">
        <w:rPr>
          <w:rFonts w:ascii="Arial" w:eastAsia="Times New Roman" w:hAnsi="Arial" w:cs="Arial"/>
          <w:color w:val="000000"/>
          <w:szCs w:val="21"/>
        </w:rPr>
        <w:t xml:space="preserve">The </w:t>
      </w:r>
      <w:r w:rsidR="00B27E5C" w:rsidRPr="007A0A70">
        <w:rPr>
          <w:rFonts w:ascii="Arial" w:eastAsia="Times New Roman" w:hAnsi="Arial" w:cs="Arial"/>
          <w:color w:val="000000"/>
          <w:szCs w:val="21"/>
        </w:rPr>
        <w:t>202</w:t>
      </w:r>
      <w:r w:rsidR="00A82645" w:rsidRPr="007A0A70">
        <w:rPr>
          <w:rFonts w:ascii="Arial" w:eastAsia="Times New Roman" w:hAnsi="Arial" w:cs="Arial"/>
          <w:color w:val="000000"/>
          <w:szCs w:val="21"/>
        </w:rPr>
        <w:t>1</w:t>
      </w:r>
      <w:r w:rsidRPr="007A0A70">
        <w:rPr>
          <w:rFonts w:ascii="Arial" w:eastAsia="Times New Roman" w:hAnsi="Arial" w:cs="Arial"/>
          <w:color w:val="000000"/>
          <w:szCs w:val="21"/>
        </w:rPr>
        <w:t xml:space="preserve"> rating assesses districts’ performance on the following </w:t>
      </w:r>
      <w:r w:rsidR="005B5C6C" w:rsidRPr="007A0A70">
        <w:rPr>
          <w:rFonts w:ascii="Arial" w:eastAsia="Times New Roman" w:hAnsi="Arial" w:cs="Arial"/>
          <w:color w:val="000000"/>
          <w:szCs w:val="21"/>
        </w:rPr>
        <w:t xml:space="preserve">compliance </w:t>
      </w:r>
      <w:r w:rsidRPr="007A0A70">
        <w:rPr>
          <w:rFonts w:ascii="Arial" w:eastAsia="Times New Roman" w:hAnsi="Arial" w:cs="Arial"/>
          <w:color w:val="000000"/>
          <w:szCs w:val="21"/>
        </w:rPr>
        <w:t>measures:</w:t>
      </w:r>
    </w:p>
    <w:p w14:paraId="7506AC55" w14:textId="65B02DDD" w:rsidR="00542CF0" w:rsidRPr="006C13E8" w:rsidRDefault="00542CF0" w:rsidP="00542CF0">
      <w:pPr>
        <w:numPr>
          <w:ilvl w:val="0"/>
          <w:numId w:val="2"/>
        </w:numPr>
        <w:shd w:val="clear" w:color="auto" w:fill="FFFFFF"/>
        <w:spacing w:after="100" w:afterAutospacing="1" w:line="273" w:lineRule="atLeast"/>
        <w:rPr>
          <w:rFonts w:ascii="Arial" w:eastAsia="Times New Roman" w:hAnsi="Arial" w:cs="Arial"/>
        </w:rPr>
      </w:pPr>
      <w:r>
        <w:rPr>
          <w:rFonts w:ascii="Arial" w:eastAsia="Times New Roman" w:hAnsi="Arial" w:cs="Arial"/>
        </w:rPr>
        <w:t>Discipline discrepancies by race</w:t>
      </w:r>
      <w:r w:rsidRPr="006C13E8">
        <w:rPr>
          <w:rFonts w:ascii="Arial" w:eastAsia="Times New Roman" w:hAnsi="Arial" w:cs="Arial"/>
        </w:rPr>
        <w:t xml:space="preserve"> (Indicator </w:t>
      </w:r>
      <w:proofErr w:type="spellStart"/>
      <w:r w:rsidRPr="006C13E8">
        <w:rPr>
          <w:rFonts w:ascii="Arial" w:eastAsia="Times New Roman" w:hAnsi="Arial" w:cs="Arial"/>
        </w:rPr>
        <w:t>4b</w:t>
      </w:r>
      <w:proofErr w:type="spellEnd"/>
      <w:proofErr w:type="gramStart"/>
      <w:r w:rsidRPr="006C13E8">
        <w:rPr>
          <w:rFonts w:ascii="Arial" w:eastAsia="Times New Roman" w:hAnsi="Arial" w:cs="Arial"/>
        </w:rPr>
        <w:t>);</w:t>
      </w:r>
      <w:proofErr w:type="gramEnd"/>
    </w:p>
    <w:p w14:paraId="3BF07691" w14:textId="5F823230" w:rsidR="00155D53" w:rsidRPr="007A0A70" w:rsidRDefault="00155D53" w:rsidP="007A0A70">
      <w:pPr>
        <w:pStyle w:val="ListParagraph"/>
        <w:numPr>
          <w:ilvl w:val="0"/>
          <w:numId w:val="2"/>
        </w:numPr>
        <w:tabs>
          <w:tab w:val="num" w:pos="360"/>
        </w:tabs>
        <w:spacing w:after="0" w:line="240" w:lineRule="auto"/>
        <w:contextualSpacing w:val="0"/>
        <w:rPr>
          <w:rFonts w:ascii="Arial" w:eastAsia="Times New Roman" w:hAnsi="Arial" w:cs="Arial"/>
        </w:rPr>
      </w:pPr>
      <w:r w:rsidRPr="007A0A70">
        <w:rPr>
          <w:rFonts w:ascii="Arial" w:eastAsia="Times New Roman" w:hAnsi="Arial" w:cs="Arial"/>
        </w:rPr>
        <w:t xml:space="preserve">Disproportionality in </w:t>
      </w:r>
      <w:r w:rsidR="002A590E" w:rsidRPr="007A0A70">
        <w:rPr>
          <w:rFonts w:ascii="Arial" w:eastAsia="Times New Roman" w:hAnsi="Arial" w:cs="Arial"/>
        </w:rPr>
        <w:t xml:space="preserve">identification </w:t>
      </w:r>
      <w:r w:rsidR="00F92BD9" w:rsidRPr="007A0A70">
        <w:rPr>
          <w:rFonts w:ascii="Arial" w:eastAsia="Times New Roman" w:hAnsi="Arial" w:cs="Arial"/>
        </w:rPr>
        <w:t xml:space="preserve">into </w:t>
      </w:r>
      <w:r w:rsidRPr="007A0A70">
        <w:rPr>
          <w:rFonts w:ascii="Arial" w:eastAsia="Times New Roman" w:hAnsi="Arial" w:cs="Arial"/>
        </w:rPr>
        <w:t xml:space="preserve">special education </w:t>
      </w:r>
      <w:r w:rsidR="008A69C3" w:rsidRPr="007A0A70">
        <w:rPr>
          <w:rFonts w:ascii="Arial" w:eastAsia="Times New Roman" w:hAnsi="Arial" w:cs="Arial"/>
        </w:rPr>
        <w:t xml:space="preserve">and specific disability categories </w:t>
      </w:r>
      <w:r w:rsidRPr="007A0A70">
        <w:rPr>
          <w:rFonts w:ascii="Arial" w:eastAsia="Times New Roman" w:hAnsi="Arial" w:cs="Arial"/>
        </w:rPr>
        <w:t>(Indicator</w:t>
      </w:r>
      <w:r w:rsidR="008A69C3" w:rsidRPr="007A0A70">
        <w:rPr>
          <w:rFonts w:ascii="Arial" w:eastAsia="Times New Roman" w:hAnsi="Arial" w:cs="Arial"/>
        </w:rPr>
        <w:t>s</w:t>
      </w:r>
      <w:r w:rsidRPr="007A0A70">
        <w:rPr>
          <w:rFonts w:ascii="Arial" w:eastAsia="Times New Roman" w:hAnsi="Arial" w:cs="Arial"/>
        </w:rPr>
        <w:t xml:space="preserve"> 9</w:t>
      </w:r>
      <w:r w:rsidR="008A69C3" w:rsidRPr="007A0A70">
        <w:rPr>
          <w:rFonts w:ascii="Arial" w:eastAsia="Times New Roman" w:hAnsi="Arial" w:cs="Arial"/>
        </w:rPr>
        <w:t xml:space="preserve"> &amp; 10</w:t>
      </w:r>
      <w:proofErr w:type="gramStart"/>
      <w:r w:rsidRPr="007A0A70">
        <w:rPr>
          <w:rFonts w:ascii="Arial" w:eastAsia="Times New Roman" w:hAnsi="Arial" w:cs="Arial"/>
        </w:rPr>
        <w:t>);</w:t>
      </w:r>
      <w:proofErr w:type="gramEnd"/>
    </w:p>
    <w:p w14:paraId="38373346" w14:textId="77777777" w:rsidR="00155D53" w:rsidRPr="006C13E8" w:rsidRDefault="00155D53" w:rsidP="007A0A70">
      <w:pPr>
        <w:numPr>
          <w:ilvl w:val="0"/>
          <w:numId w:val="2"/>
        </w:numPr>
        <w:shd w:val="clear" w:color="auto" w:fill="FFFFFF"/>
        <w:spacing w:after="0" w:line="240" w:lineRule="auto"/>
        <w:rPr>
          <w:rFonts w:ascii="Arial" w:eastAsia="Times New Roman" w:hAnsi="Arial" w:cs="Arial"/>
        </w:rPr>
      </w:pPr>
      <w:r w:rsidRPr="006C13E8">
        <w:rPr>
          <w:rFonts w:ascii="Arial" w:eastAsia="Times New Roman" w:hAnsi="Arial" w:cs="Arial"/>
        </w:rPr>
        <w:t>Initial evaluation timelines (Indicator 11</w:t>
      </w:r>
      <w:proofErr w:type="gramStart"/>
      <w:r w:rsidRPr="006C13E8">
        <w:rPr>
          <w:rFonts w:ascii="Arial" w:eastAsia="Times New Roman" w:hAnsi="Arial" w:cs="Arial"/>
        </w:rPr>
        <w:t>);</w:t>
      </w:r>
      <w:proofErr w:type="gramEnd"/>
    </w:p>
    <w:p w14:paraId="38B6DDBF" w14:textId="77777777" w:rsidR="00155D53" w:rsidRPr="006C13E8" w:rsidRDefault="00155D53" w:rsidP="007A0A70">
      <w:pPr>
        <w:numPr>
          <w:ilvl w:val="0"/>
          <w:numId w:val="2"/>
        </w:numPr>
        <w:shd w:val="clear" w:color="auto" w:fill="FFFFFF"/>
        <w:spacing w:after="0" w:line="240" w:lineRule="auto"/>
        <w:rPr>
          <w:rFonts w:ascii="Arial" w:eastAsia="Times New Roman" w:hAnsi="Arial" w:cs="Arial"/>
        </w:rPr>
      </w:pPr>
      <w:r w:rsidRPr="006C13E8">
        <w:rPr>
          <w:rFonts w:ascii="Arial" w:eastAsia="Times New Roman" w:hAnsi="Arial" w:cs="Arial"/>
        </w:rPr>
        <w:t>Early childhood transition (Indicator 12</w:t>
      </w:r>
      <w:proofErr w:type="gramStart"/>
      <w:r w:rsidRPr="006C13E8">
        <w:rPr>
          <w:rFonts w:ascii="Arial" w:eastAsia="Times New Roman" w:hAnsi="Arial" w:cs="Arial"/>
        </w:rPr>
        <w:t>);</w:t>
      </w:r>
      <w:proofErr w:type="gramEnd"/>
    </w:p>
    <w:p w14:paraId="5A65AFA4" w14:textId="77777777" w:rsidR="00155D53" w:rsidRPr="006C13E8" w:rsidRDefault="00155D53" w:rsidP="007A0A70">
      <w:pPr>
        <w:numPr>
          <w:ilvl w:val="0"/>
          <w:numId w:val="2"/>
        </w:numPr>
        <w:shd w:val="clear" w:color="auto" w:fill="FFFFFF"/>
        <w:spacing w:after="0" w:line="240" w:lineRule="auto"/>
        <w:rPr>
          <w:rFonts w:ascii="Arial" w:eastAsia="Times New Roman" w:hAnsi="Arial" w:cs="Arial"/>
        </w:rPr>
      </w:pPr>
      <w:r w:rsidRPr="006C13E8">
        <w:rPr>
          <w:rFonts w:ascii="Arial" w:eastAsia="Times New Roman" w:hAnsi="Arial" w:cs="Arial"/>
        </w:rPr>
        <w:t>Secondary transition planning (Indicator 13</w:t>
      </w:r>
      <w:proofErr w:type="gramStart"/>
      <w:r w:rsidRPr="006C13E8">
        <w:rPr>
          <w:rFonts w:ascii="Arial" w:eastAsia="Times New Roman" w:hAnsi="Arial" w:cs="Arial"/>
        </w:rPr>
        <w:t>);</w:t>
      </w:r>
      <w:proofErr w:type="gramEnd"/>
    </w:p>
    <w:p w14:paraId="0A101CD2" w14:textId="5005CE46" w:rsidR="00155D53" w:rsidRPr="006C13E8" w:rsidRDefault="00155D53" w:rsidP="007A0A70">
      <w:pPr>
        <w:numPr>
          <w:ilvl w:val="0"/>
          <w:numId w:val="2"/>
        </w:numPr>
        <w:shd w:val="clear" w:color="auto" w:fill="FFFFFF"/>
        <w:spacing w:after="0" w:line="240" w:lineRule="auto"/>
        <w:rPr>
          <w:rFonts w:ascii="Arial" w:eastAsia="Times New Roman" w:hAnsi="Arial" w:cs="Arial"/>
        </w:rPr>
      </w:pPr>
      <w:r w:rsidRPr="006C13E8">
        <w:rPr>
          <w:rFonts w:ascii="Arial" w:eastAsia="Times New Roman" w:hAnsi="Arial" w:cs="Arial"/>
        </w:rPr>
        <w:t>Timely correction of noncompliance</w:t>
      </w:r>
      <w:r w:rsidR="001A50B0">
        <w:rPr>
          <w:rFonts w:ascii="Arial" w:eastAsia="Times New Roman" w:hAnsi="Arial" w:cs="Arial"/>
        </w:rPr>
        <w:t xml:space="preserve"> (Indicator 15</w:t>
      </w:r>
      <w:proofErr w:type="gramStart"/>
      <w:r w:rsidR="001A50B0">
        <w:rPr>
          <w:rFonts w:ascii="Arial" w:eastAsia="Times New Roman" w:hAnsi="Arial" w:cs="Arial"/>
        </w:rPr>
        <w:t>)</w:t>
      </w:r>
      <w:r w:rsidRPr="006C13E8">
        <w:rPr>
          <w:rFonts w:ascii="Arial" w:eastAsia="Times New Roman" w:hAnsi="Arial" w:cs="Arial"/>
        </w:rPr>
        <w:t>;</w:t>
      </w:r>
      <w:proofErr w:type="gramEnd"/>
    </w:p>
    <w:p w14:paraId="272E4988" w14:textId="3E8F8847" w:rsidR="00155D53" w:rsidRPr="006C13E8" w:rsidRDefault="009D463C" w:rsidP="007A0A70">
      <w:pPr>
        <w:numPr>
          <w:ilvl w:val="0"/>
          <w:numId w:val="2"/>
        </w:numPr>
        <w:shd w:val="clear" w:color="auto" w:fill="FFFFFF"/>
        <w:spacing w:after="0" w:line="240" w:lineRule="auto"/>
        <w:rPr>
          <w:rFonts w:ascii="Arial" w:eastAsia="Times New Roman" w:hAnsi="Arial" w:cs="Arial"/>
        </w:rPr>
      </w:pPr>
      <w:r>
        <w:rPr>
          <w:rFonts w:ascii="Arial" w:eastAsia="Times New Roman" w:hAnsi="Arial" w:cs="Arial"/>
        </w:rPr>
        <w:t>Timely and accurate</w:t>
      </w:r>
      <w:r w:rsidR="00155D53" w:rsidRPr="006C13E8">
        <w:rPr>
          <w:rFonts w:ascii="Arial" w:eastAsia="Times New Roman" w:hAnsi="Arial" w:cs="Arial"/>
        </w:rPr>
        <w:t xml:space="preserve"> data</w:t>
      </w:r>
      <w:r>
        <w:rPr>
          <w:rFonts w:ascii="Arial" w:eastAsia="Times New Roman" w:hAnsi="Arial" w:cs="Arial"/>
        </w:rPr>
        <w:t xml:space="preserve"> reporting</w:t>
      </w:r>
      <w:r w:rsidR="001A50B0">
        <w:rPr>
          <w:rFonts w:ascii="Arial" w:eastAsia="Times New Roman" w:hAnsi="Arial" w:cs="Arial"/>
        </w:rPr>
        <w:t xml:space="preserve"> (Indicator 20)</w:t>
      </w:r>
      <w:r w:rsidR="00155D53" w:rsidRPr="006C13E8">
        <w:rPr>
          <w:rFonts w:ascii="Arial" w:eastAsia="Times New Roman" w:hAnsi="Arial" w:cs="Arial"/>
        </w:rPr>
        <w:t>; and</w:t>
      </w:r>
    </w:p>
    <w:p w14:paraId="35C7A473" w14:textId="7331ADC4" w:rsidR="00155D53" w:rsidRPr="006C13E8" w:rsidRDefault="00235D0D" w:rsidP="007A0A70">
      <w:pPr>
        <w:numPr>
          <w:ilvl w:val="0"/>
          <w:numId w:val="2"/>
        </w:numPr>
        <w:shd w:val="clear" w:color="auto" w:fill="FFFFFF"/>
        <w:spacing w:after="0" w:line="240" w:lineRule="auto"/>
        <w:rPr>
          <w:rFonts w:ascii="Arial" w:eastAsia="Times New Roman" w:hAnsi="Arial" w:cs="Arial"/>
        </w:rPr>
      </w:pPr>
      <w:r>
        <w:rPr>
          <w:rFonts w:ascii="Arial" w:eastAsia="Times New Roman" w:hAnsi="Arial" w:cs="Arial"/>
        </w:rPr>
        <w:t>Special education</w:t>
      </w:r>
      <w:r w:rsidR="00155D53" w:rsidRPr="006C13E8">
        <w:rPr>
          <w:rFonts w:ascii="Arial" w:eastAsia="Times New Roman" w:hAnsi="Arial" w:cs="Arial"/>
        </w:rPr>
        <w:t xml:space="preserve"> audit findings.</w:t>
      </w:r>
    </w:p>
    <w:p w14:paraId="7BBD524C" w14:textId="3BD9ED85" w:rsidR="00480326" w:rsidRPr="00261462" w:rsidRDefault="006C13E8" w:rsidP="007A0A70">
      <w:pPr>
        <w:tabs>
          <w:tab w:val="num" w:pos="360"/>
        </w:tabs>
        <w:spacing w:before="120" w:after="120" w:line="240" w:lineRule="auto"/>
        <w:ind w:left="90"/>
        <w:rPr>
          <w:rFonts w:ascii="Arial" w:eastAsia="Times New Roman" w:hAnsi="Arial" w:cs="Arial"/>
          <w:color w:val="000000"/>
        </w:rPr>
      </w:pPr>
      <w:r w:rsidRPr="00261462">
        <w:rPr>
          <w:rFonts w:ascii="Arial" w:eastAsia="Times New Roman" w:hAnsi="Arial" w:cs="Arial"/>
          <w:color w:val="000000"/>
        </w:rPr>
        <w:t>Future</w:t>
      </w:r>
      <w:r w:rsidR="00480326" w:rsidRPr="00261462">
        <w:rPr>
          <w:rFonts w:ascii="Arial" w:eastAsia="Times New Roman" w:hAnsi="Arial" w:cs="Arial"/>
          <w:color w:val="000000"/>
        </w:rPr>
        <w:t xml:space="preserve"> ratings also will include:  </w:t>
      </w:r>
    </w:p>
    <w:p w14:paraId="623D381D" w14:textId="15D886DF" w:rsidR="00DE548A" w:rsidRPr="00261462" w:rsidRDefault="00DE548A" w:rsidP="00DE548A">
      <w:pPr>
        <w:numPr>
          <w:ilvl w:val="0"/>
          <w:numId w:val="14"/>
        </w:numPr>
        <w:shd w:val="clear" w:color="auto" w:fill="FFFFFF"/>
        <w:spacing w:after="0" w:line="300" w:lineRule="atLeast"/>
        <w:ind w:left="720"/>
        <w:rPr>
          <w:rFonts w:ascii="Arial" w:eastAsia="Times New Roman" w:hAnsi="Arial" w:cs="Arial"/>
          <w:color w:val="000000"/>
        </w:rPr>
      </w:pPr>
      <w:r w:rsidRPr="00261462">
        <w:rPr>
          <w:rFonts w:ascii="Arial" w:eastAsia="Times New Roman" w:hAnsi="Arial" w:cs="Arial"/>
          <w:color w:val="000000"/>
        </w:rPr>
        <w:t>Math proficiency rate</w:t>
      </w:r>
      <w:r w:rsidR="00261462">
        <w:rPr>
          <w:rFonts w:ascii="Arial" w:eastAsia="Times New Roman" w:hAnsi="Arial" w:cs="Arial"/>
          <w:color w:val="000000"/>
        </w:rPr>
        <w:t>s</w:t>
      </w:r>
      <w:r w:rsidRPr="00261462">
        <w:rPr>
          <w:rFonts w:ascii="Arial" w:eastAsia="Times New Roman" w:hAnsi="Arial" w:cs="Arial"/>
          <w:color w:val="000000"/>
        </w:rPr>
        <w:t xml:space="preserve"> for students with </w:t>
      </w:r>
      <w:proofErr w:type="gramStart"/>
      <w:r w:rsidRPr="00261462">
        <w:rPr>
          <w:rFonts w:ascii="Arial" w:eastAsia="Times New Roman" w:hAnsi="Arial" w:cs="Arial"/>
          <w:color w:val="000000"/>
        </w:rPr>
        <w:t>disabilities;</w:t>
      </w:r>
      <w:proofErr w:type="gramEnd"/>
    </w:p>
    <w:p w14:paraId="619E95B0" w14:textId="65EFF1B0" w:rsidR="00DE548A" w:rsidRDefault="00DE548A" w:rsidP="00DE548A">
      <w:pPr>
        <w:numPr>
          <w:ilvl w:val="0"/>
          <w:numId w:val="14"/>
        </w:numPr>
        <w:shd w:val="clear" w:color="auto" w:fill="FFFFFF"/>
        <w:spacing w:after="0" w:line="300" w:lineRule="atLeast"/>
        <w:ind w:left="720"/>
        <w:rPr>
          <w:rFonts w:ascii="Arial" w:eastAsia="Times New Roman" w:hAnsi="Arial" w:cs="Arial"/>
          <w:color w:val="000000"/>
        </w:rPr>
      </w:pPr>
      <w:r w:rsidRPr="00261462">
        <w:rPr>
          <w:rFonts w:ascii="Arial" w:eastAsia="Times New Roman" w:hAnsi="Arial" w:cs="Arial"/>
          <w:color w:val="000000"/>
        </w:rPr>
        <w:t>Reading proficiency rate</w:t>
      </w:r>
      <w:r w:rsidR="00261462">
        <w:rPr>
          <w:rFonts w:ascii="Arial" w:eastAsia="Times New Roman" w:hAnsi="Arial" w:cs="Arial"/>
          <w:color w:val="000000"/>
        </w:rPr>
        <w:t>s</w:t>
      </w:r>
      <w:r w:rsidRPr="00261462">
        <w:rPr>
          <w:rFonts w:ascii="Arial" w:eastAsia="Times New Roman" w:hAnsi="Arial" w:cs="Arial"/>
          <w:color w:val="000000"/>
        </w:rPr>
        <w:t xml:space="preserve"> for students with </w:t>
      </w:r>
      <w:proofErr w:type="gramStart"/>
      <w:r w:rsidRPr="00261462">
        <w:rPr>
          <w:rFonts w:ascii="Arial" w:eastAsia="Times New Roman" w:hAnsi="Arial" w:cs="Arial"/>
          <w:color w:val="000000"/>
        </w:rPr>
        <w:t>disabilities;</w:t>
      </w:r>
      <w:proofErr w:type="gramEnd"/>
      <w:r w:rsidRPr="00261462">
        <w:rPr>
          <w:rFonts w:ascii="Arial" w:eastAsia="Times New Roman" w:hAnsi="Arial" w:cs="Arial"/>
          <w:color w:val="000000"/>
        </w:rPr>
        <w:t xml:space="preserve"> </w:t>
      </w:r>
    </w:p>
    <w:p w14:paraId="4117E7D2" w14:textId="3E61D14F" w:rsidR="009C13C0" w:rsidRPr="00261462" w:rsidRDefault="009C13C0" w:rsidP="00DE548A">
      <w:pPr>
        <w:numPr>
          <w:ilvl w:val="0"/>
          <w:numId w:val="14"/>
        </w:numPr>
        <w:shd w:val="clear" w:color="auto" w:fill="FFFFFF"/>
        <w:spacing w:after="0" w:line="300" w:lineRule="atLeast"/>
        <w:ind w:left="720"/>
        <w:rPr>
          <w:rFonts w:ascii="Arial" w:eastAsia="Times New Roman" w:hAnsi="Arial" w:cs="Arial"/>
          <w:color w:val="000000"/>
        </w:rPr>
      </w:pPr>
      <w:r>
        <w:rPr>
          <w:rFonts w:ascii="Arial" w:eastAsia="Times New Roman" w:hAnsi="Arial" w:cs="Arial"/>
          <w:color w:val="000000"/>
        </w:rPr>
        <w:t>Alternate assessment rates; and</w:t>
      </w:r>
    </w:p>
    <w:p w14:paraId="1A533306" w14:textId="2D01AD82" w:rsidR="00480326" w:rsidRDefault="00480326" w:rsidP="007A0A70">
      <w:pPr>
        <w:pStyle w:val="ListParagraph"/>
        <w:numPr>
          <w:ilvl w:val="0"/>
          <w:numId w:val="14"/>
        </w:numPr>
        <w:spacing w:after="0" w:line="240" w:lineRule="auto"/>
        <w:ind w:left="720"/>
        <w:contextualSpacing w:val="0"/>
        <w:rPr>
          <w:rFonts w:ascii="Arial" w:eastAsia="Times New Roman" w:hAnsi="Arial" w:cs="Arial"/>
          <w:color w:val="000000"/>
        </w:rPr>
      </w:pPr>
      <w:r w:rsidRPr="00261462">
        <w:rPr>
          <w:rFonts w:ascii="Arial" w:eastAsia="Times New Roman" w:hAnsi="Arial" w:cs="Arial"/>
          <w:color w:val="000000"/>
        </w:rPr>
        <w:t>The </w:t>
      </w:r>
      <w:r w:rsidR="009C13C0">
        <w:rPr>
          <w:rFonts w:ascii="Arial" w:eastAsia="Times New Roman" w:hAnsi="Arial" w:cs="Arial"/>
          <w:color w:val="000000"/>
        </w:rPr>
        <w:t>federal graduation</w:t>
      </w:r>
      <w:r w:rsidR="00DE548A">
        <w:rPr>
          <w:rFonts w:ascii="Arial" w:eastAsia="Times New Roman" w:hAnsi="Arial" w:cs="Arial"/>
          <w:color w:val="000000"/>
        </w:rPr>
        <w:t xml:space="preserve"> rate for</w:t>
      </w:r>
      <w:r w:rsidR="00DE548A" w:rsidRPr="00261462">
        <w:rPr>
          <w:rFonts w:ascii="Arial" w:eastAsia="Times New Roman" w:hAnsi="Arial" w:cs="Arial"/>
          <w:color w:val="000000"/>
        </w:rPr>
        <w:t xml:space="preserve"> students </w:t>
      </w:r>
      <w:r w:rsidRPr="00823C50">
        <w:rPr>
          <w:rFonts w:ascii="Arial" w:eastAsia="Times New Roman" w:hAnsi="Arial" w:cs="Arial"/>
          <w:color w:val="000000"/>
        </w:rPr>
        <w:t>without disabilities.</w:t>
      </w:r>
    </w:p>
    <w:p w14:paraId="1199F99C" w14:textId="77777777" w:rsidR="00CA7C3A" w:rsidRPr="00CA7C3A" w:rsidRDefault="00CA7C3A" w:rsidP="007A0A70">
      <w:pPr>
        <w:shd w:val="clear" w:color="auto" w:fill="FFFFFF"/>
        <w:spacing w:before="120" w:after="120" w:line="240" w:lineRule="auto"/>
        <w:rPr>
          <w:rFonts w:ascii="Arial" w:eastAsia="Times New Roman" w:hAnsi="Arial" w:cs="Arial"/>
        </w:rPr>
      </w:pPr>
      <w:r w:rsidRPr="00D3252E">
        <w:rPr>
          <w:rFonts w:ascii="Arial" w:eastAsia="Times New Roman" w:hAnsi="Arial" w:cs="Arial"/>
          <w:b/>
          <w:bCs/>
        </w:rPr>
        <w:t>Enforcement Actions</w:t>
      </w:r>
    </w:p>
    <w:p w14:paraId="5B097D3C" w14:textId="43CED6BB" w:rsidR="00CA7C3A" w:rsidRPr="00CA7C3A" w:rsidRDefault="00CA7C3A" w:rsidP="007A0A70">
      <w:pPr>
        <w:shd w:val="clear" w:color="auto" w:fill="FFFFFF"/>
        <w:spacing w:before="120" w:after="120" w:line="240" w:lineRule="auto"/>
        <w:rPr>
          <w:rFonts w:ascii="Arial" w:eastAsia="Times New Roman" w:hAnsi="Arial" w:cs="Arial"/>
        </w:rPr>
      </w:pPr>
      <w:r w:rsidRPr="00CA7C3A">
        <w:rPr>
          <w:rFonts w:ascii="Arial" w:eastAsia="Times New Roman" w:hAnsi="Arial" w:cs="Arial"/>
        </w:rPr>
        <w:t>The IDEA Part B regulations at §300.600(a) specifically designate the enforcement actions that states must apply after a district is determined to "Need Assistance" for two consecutive years, "Need Intervention" for three or more consecutive years, or immediately when a district is determined to</w:t>
      </w:r>
      <w:r w:rsidR="00804953">
        <w:rPr>
          <w:rFonts w:ascii="Arial" w:eastAsia="Times New Roman" w:hAnsi="Arial" w:cs="Arial"/>
        </w:rPr>
        <w:t xml:space="preserve"> "Need Substantial Intervention</w:t>
      </w:r>
      <w:r w:rsidRPr="00CA7C3A">
        <w:rPr>
          <w:rFonts w:ascii="Arial" w:eastAsia="Times New Roman" w:hAnsi="Arial" w:cs="Arial"/>
        </w:rPr>
        <w:t>"</w:t>
      </w:r>
      <w:r w:rsidR="00804953">
        <w:rPr>
          <w:rFonts w:ascii="Arial" w:eastAsia="Times New Roman" w:hAnsi="Arial" w:cs="Arial"/>
        </w:rPr>
        <w:t>.</w:t>
      </w:r>
    </w:p>
    <w:p w14:paraId="6E308518" w14:textId="73BE6DD5" w:rsidR="00CA7C3A" w:rsidRPr="00D3252E" w:rsidRDefault="00CA7C3A" w:rsidP="007A0A70">
      <w:pPr>
        <w:shd w:val="clear" w:color="auto" w:fill="FFFFFF"/>
        <w:spacing w:before="120" w:after="120" w:line="240" w:lineRule="auto"/>
        <w:rPr>
          <w:rFonts w:ascii="Arial" w:eastAsia="Times New Roman" w:hAnsi="Arial" w:cs="Arial"/>
        </w:rPr>
      </w:pPr>
      <w:r w:rsidRPr="00CA7C3A">
        <w:rPr>
          <w:rFonts w:ascii="Arial" w:eastAsia="Times New Roman" w:hAnsi="Arial" w:cs="Arial"/>
        </w:rPr>
        <w:t xml:space="preserve">The table below displays the enforcement actions required by the </w:t>
      </w:r>
      <w:r w:rsidR="00253F45">
        <w:rPr>
          <w:rFonts w:ascii="Arial" w:eastAsia="Times New Roman" w:hAnsi="Arial" w:cs="Arial"/>
        </w:rPr>
        <w:t>D</w:t>
      </w:r>
      <w:r w:rsidRPr="00CA7C3A">
        <w:rPr>
          <w:rFonts w:ascii="Arial" w:eastAsia="Times New Roman" w:hAnsi="Arial" w:cs="Arial"/>
        </w:rPr>
        <w:t xml:space="preserve">epartment for ratings other than Meets Requirements. In some </w:t>
      </w:r>
      <w:r w:rsidR="00442888" w:rsidRPr="00CA7C3A">
        <w:rPr>
          <w:rFonts w:ascii="Arial" w:eastAsia="Times New Roman" w:hAnsi="Arial" w:cs="Arial"/>
        </w:rPr>
        <w:t>cases,</w:t>
      </w:r>
      <w:r w:rsidRPr="00CA7C3A">
        <w:rPr>
          <w:rFonts w:ascii="Arial" w:eastAsia="Times New Roman" w:hAnsi="Arial" w:cs="Arial"/>
        </w:rPr>
        <w:t xml:space="preserve"> no action is required because the issues lowering the district’s rating have been corrected.</w:t>
      </w:r>
    </w:p>
    <w:tbl>
      <w:tblPr>
        <w:tblW w:w="5000" w:type="pct"/>
        <w:tblCellSpacing w:w="15"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CellMar>
          <w:top w:w="15" w:type="dxa"/>
          <w:left w:w="15" w:type="dxa"/>
          <w:bottom w:w="15" w:type="dxa"/>
          <w:right w:w="15" w:type="dxa"/>
        </w:tblCellMar>
        <w:tblLook w:val="04A0" w:firstRow="1" w:lastRow="0" w:firstColumn="1" w:lastColumn="0" w:noHBand="0" w:noVBand="1"/>
      </w:tblPr>
      <w:tblGrid>
        <w:gridCol w:w="3502"/>
        <w:gridCol w:w="5842"/>
      </w:tblGrid>
      <w:tr w:rsidR="00CA7C3A" w:rsidRPr="00D3252E" w14:paraId="0C3B26EF" w14:textId="77777777" w:rsidTr="00EC1BB7">
        <w:trPr>
          <w:tblHeader/>
          <w:tblCellSpacing w:w="15" w:type="dxa"/>
        </w:trPr>
        <w:tc>
          <w:tcPr>
            <w:tcW w:w="1850" w:type="pct"/>
            <w:shd w:val="clear" w:color="auto" w:fill="auto"/>
            <w:tcMar>
              <w:top w:w="150" w:type="dxa"/>
              <w:left w:w="270" w:type="dxa"/>
              <w:bottom w:w="150" w:type="dxa"/>
              <w:right w:w="270" w:type="dxa"/>
            </w:tcMar>
            <w:vAlign w:val="bottom"/>
            <w:hideMark/>
          </w:tcPr>
          <w:p w14:paraId="566EC91A" w14:textId="77777777" w:rsidR="00CA7C3A" w:rsidRPr="00CA7C3A" w:rsidRDefault="00CA7C3A" w:rsidP="007A0A70">
            <w:pPr>
              <w:spacing w:after="0" w:line="240" w:lineRule="auto"/>
              <w:rPr>
                <w:rFonts w:ascii="Arial" w:eastAsia="Times New Roman" w:hAnsi="Arial" w:cs="Arial"/>
                <w:b/>
                <w:bCs/>
              </w:rPr>
            </w:pPr>
            <w:r w:rsidRPr="00D3252E">
              <w:rPr>
                <w:rFonts w:ascii="Arial" w:eastAsia="Times New Roman" w:hAnsi="Arial" w:cs="Arial"/>
                <w:b/>
                <w:bCs/>
              </w:rPr>
              <w:lastRenderedPageBreak/>
              <w:t>Category</w:t>
            </w:r>
          </w:p>
        </w:tc>
        <w:tc>
          <w:tcPr>
            <w:tcW w:w="3102" w:type="pct"/>
            <w:shd w:val="clear" w:color="auto" w:fill="auto"/>
            <w:tcMar>
              <w:top w:w="150" w:type="dxa"/>
              <w:left w:w="270" w:type="dxa"/>
              <w:bottom w:w="150" w:type="dxa"/>
              <w:right w:w="270" w:type="dxa"/>
            </w:tcMar>
            <w:vAlign w:val="bottom"/>
            <w:hideMark/>
          </w:tcPr>
          <w:p w14:paraId="7325CD20" w14:textId="77777777" w:rsidR="00CA7C3A" w:rsidRPr="00CA7C3A" w:rsidRDefault="00CA7C3A" w:rsidP="007A0A70">
            <w:pPr>
              <w:spacing w:after="0" w:line="240" w:lineRule="auto"/>
              <w:rPr>
                <w:rFonts w:ascii="Arial" w:eastAsia="Times New Roman" w:hAnsi="Arial" w:cs="Arial"/>
                <w:b/>
                <w:bCs/>
              </w:rPr>
            </w:pPr>
            <w:r w:rsidRPr="00D3252E">
              <w:rPr>
                <w:rFonts w:ascii="Arial" w:eastAsia="Times New Roman" w:hAnsi="Arial" w:cs="Arial"/>
                <w:b/>
                <w:bCs/>
              </w:rPr>
              <w:t>Enforcement Actions</w:t>
            </w:r>
          </w:p>
        </w:tc>
      </w:tr>
      <w:tr w:rsidR="00CA7C3A" w:rsidRPr="00D3252E" w14:paraId="67E632D6" w14:textId="77777777" w:rsidTr="00EC1BB7">
        <w:trPr>
          <w:tblCellSpacing w:w="15" w:type="dxa"/>
        </w:trPr>
        <w:tc>
          <w:tcPr>
            <w:tcW w:w="1850" w:type="pct"/>
            <w:shd w:val="clear" w:color="auto" w:fill="FFE57F"/>
            <w:tcMar>
              <w:top w:w="120" w:type="dxa"/>
              <w:left w:w="150" w:type="dxa"/>
              <w:bottom w:w="120" w:type="dxa"/>
              <w:right w:w="150" w:type="dxa"/>
            </w:tcMar>
            <w:vAlign w:val="center"/>
            <w:hideMark/>
          </w:tcPr>
          <w:p w14:paraId="54515E4A" w14:textId="77777777" w:rsidR="00CA7C3A" w:rsidRPr="00CA7C3A" w:rsidRDefault="00CA7C3A" w:rsidP="007A0A70">
            <w:pPr>
              <w:spacing w:after="0" w:line="240" w:lineRule="auto"/>
              <w:rPr>
                <w:rFonts w:ascii="Arial" w:eastAsia="Times New Roman" w:hAnsi="Arial" w:cs="Arial"/>
              </w:rPr>
            </w:pPr>
            <w:r w:rsidRPr="00CA7C3A">
              <w:rPr>
                <w:rFonts w:ascii="Arial" w:eastAsia="Times New Roman" w:hAnsi="Arial" w:cs="Arial"/>
              </w:rPr>
              <w:t>Needs Assistance (Year 1)</w:t>
            </w:r>
          </w:p>
        </w:tc>
        <w:tc>
          <w:tcPr>
            <w:tcW w:w="3102" w:type="pct"/>
            <w:shd w:val="clear" w:color="auto" w:fill="FFFFFF"/>
            <w:tcMar>
              <w:top w:w="120" w:type="dxa"/>
              <w:left w:w="150" w:type="dxa"/>
              <w:bottom w:w="120" w:type="dxa"/>
              <w:right w:w="150" w:type="dxa"/>
            </w:tcMar>
            <w:hideMark/>
          </w:tcPr>
          <w:p w14:paraId="509B10F4" w14:textId="77777777" w:rsidR="00CA7C3A" w:rsidRPr="00CA7C3A" w:rsidRDefault="00CA7C3A" w:rsidP="007A0A70">
            <w:pPr>
              <w:spacing w:after="0" w:line="240" w:lineRule="auto"/>
              <w:rPr>
                <w:rFonts w:ascii="Arial" w:eastAsia="Times New Roman" w:hAnsi="Arial" w:cs="Arial"/>
              </w:rPr>
            </w:pPr>
            <w:r w:rsidRPr="00CA7C3A">
              <w:rPr>
                <w:rFonts w:ascii="Arial" w:eastAsia="Times New Roman" w:hAnsi="Arial" w:cs="Arial"/>
              </w:rPr>
              <w:t>Inform districts of technical assistance available from State Support Teams (SSTs) and other resources.</w:t>
            </w:r>
          </w:p>
        </w:tc>
      </w:tr>
      <w:tr w:rsidR="00CA7C3A" w:rsidRPr="00D3252E" w14:paraId="62558352" w14:textId="77777777" w:rsidTr="00EC1BB7">
        <w:trPr>
          <w:tblCellSpacing w:w="15" w:type="dxa"/>
        </w:trPr>
        <w:tc>
          <w:tcPr>
            <w:tcW w:w="1850" w:type="pct"/>
            <w:shd w:val="clear" w:color="auto" w:fill="FFCC7F"/>
            <w:tcMar>
              <w:top w:w="120" w:type="dxa"/>
              <w:left w:w="150" w:type="dxa"/>
              <w:bottom w:w="120" w:type="dxa"/>
              <w:right w:w="150" w:type="dxa"/>
            </w:tcMar>
            <w:vAlign w:val="center"/>
            <w:hideMark/>
          </w:tcPr>
          <w:p w14:paraId="05391F8D" w14:textId="77777777" w:rsidR="00CA7C3A" w:rsidRPr="00CA7C3A" w:rsidRDefault="00CA7C3A" w:rsidP="007A0A70">
            <w:pPr>
              <w:spacing w:after="0" w:line="240" w:lineRule="auto"/>
              <w:rPr>
                <w:rFonts w:ascii="Arial" w:eastAsia="Times New Roman" w:hAnsi="Arial" w:cs="Arial"/>
              </w:rPr>
            </w:pPr>
            <w:r w:rsidRPr="00CA7C3A">
              <w:rPr>
                <w:rFonts w:ascii="Arial" w:eastAsia="Times New Roman" w:hAnsi="Arial" w:cs="Arial"/>
              </w:rPr>
              <w:t>Needs Assistance (Year 2)</w:t>
            </w:r>
          </w:p>
        </w:tc>
        <w:tc>
          <w:tcPr>
            <w:tcW w:w="3102" w:type="pct"/>
            <w:shd w:val="clear" w:color="auto" w:fill="FFFFFF"/>
            <w:tcMar>
              <w:top w:w="120" w:type="dxa"/>
              <w:left w:w="150" w:type="dxa"/>
              <w:bottom w:w="120" w:type="dxa"/>
              <w:right w:w="150" w:type="dxa"/>
            </w:tcMar>
            <w:hideMark/>
          </w:tcPr>
          <w:p w14:paraId="7B7C1599" w14:textId="0746D013" w:rsidR="00CA7C3A" w:rsidRPr="00CA7C3A" w:rsidRDefault="00CA7C3A" w:rsidP="007A0A70">
            <w:pPr>
              <w:spacing w:after="0" w:line="240" w:lineRule="auto"/>
              <w:rPr>
                <w:rFonts w:ascii="Arial" w:eastAsia="Times New Roman" w:hAnsi="Arial" w:cs="Arial"/>
              </w:rPr>
            </w:pPr>
            <w:r w:rsidRPr="00CA7C3A">
              <w:rPr>
                <w:rFonts w:ascii="Arial" w:eastAsia="Times New Roman" w:hAnsi="Arial" w:cs="Arial"/>
              </w:rPr>
              <w:t xml:space="preserve">Require </w:t>
            </w:r>
            <w:r w:rsidR="003842EF">
              <w:rPr>
                <w:rFonts w:ascii="Arial" w:eastAsia="Times New Roman" w:hAnsi="Arial" w:cs="Arial"/>
              </w:rPr>
              <w:t xml:space="preserve">a district self-review and </w:t>
            </w:r>
            <w:r w:rsidR="00497894">
              <w:rPr>
                <w:rFonts w:ascii="Arial" w:eastAsia="Times New Roman" w:hAnsi="Arial" w:cs="Arial"/>
              </w:rPr>
              <w:t>improvement</w:t>
            </w:r>
            <w:r w:rsidR="00C43A65">
              <w:rPr>
                <w:rFonts w:ascii="Arial" w:eastAsia="Times New Roman" w:hAnsi="Arial" w:cs="Arial"/>
              </w:rPr>
              <w:t xml:space="preserve"> plan to address </w:t>
            </w:r>
            <w:r w:rsidR="00DA6465">
              <w:rPr>
                <w:rFonts w:ascii="Arial" w:eastAsia="Times New Roman" w:hAnsi="Arial" w:cs="Arial"/>
              </w:rPr>
              <w:t>c</w:t>
            </w:r>
            <w:r w:rsidR="00C43A65">
              <w:rPr>
                <w:rFonts w:ascii="Arial" w:eastAsia="Times New Roman" w:hAnsi="Arial" w:cs="Arial"/>
              </w:rPr>
              <w:t>ompliance indicator(s) with lower scores</w:t>
            </w:r>
            <w:r w:rsidRPr="00CA7C3A">
              <w:rPr>
                <w:rFonts w:ascii="Arial" w:eastAsia="Times New Roman" w:hAnsi="Arial" w:cs="Arial"/>
              </w:rPr>
              <w:t>.</w:t>
            </w:r>
          </w:p>
        </w:tc>
      </w:tr>
      <w:tr w:rsidR="00CA7C3A" w:rsidRPr="00D3252E" w14:paraId="1901F249" w14:textId="77777777" w:rsidTr="00EC1BB7">
        <w:trPr>
          <w:tblCellSpacing w:w="15" w:type="dxa"/>
        </w:trPr>
        <w:tc>
          <w:tcPr>
            <w:tcW w:w="1850" w:type="pct"/>
            <w:shd w:val="clear" w:color="auto" w:fill="FFA67F"/>
            <w:tcMar>
              <w:top w:w="120" w:type="dxa"/>
              <w:left w:w="150" w:type="dxa"/>
              <w:bottom w:w="120" w:type="dxa"/>
              <w:right w:w="150" w:type="dxa"/>
            </w:tcMar>
            <w:vAlign w:val="center"/>
            <w:hideMark/>
          </w:tcPr>
          <w:p w14:paraId="059BBAA2" w14:textId="77777777" w:rsidR="00CA7C3A" w:rsidRPr="00CA7C3A" w:rsidRDefault="00CA7C3A" w:rsidP="007A0A70">
            <w:pPr>
              <w:spacing w:after="0" w:line="240" w:lineRule="auto"/>
              <w:rPr>
                <w:rFonts w:ascii="Arial" w:eastAsia="Times New Roman" w:hAnsi="Arial" w:cs="Arial"/>
              </w:rPr>
            </w:pPr>
            <w:r w:rsidRPr="00CA7C3A">
              <w:rPr>
                <w:rFonts w:ascii="Arial" w:eastAsia="Times New Roman" w:hAnsi="Arial" w:cs="Arial"/>
              </w:rPr>
              <w:t>Needs Intervention</w:t>
            </w:r>
          </w:p>
        </w:tc>
        <w:tc>
          <w:tcPr>
            <w:tcW w:w="3102" w:type="pct"/>
            <w:shd w:val="clear" w:color="auto" w:fill="FFFFFF"/>
            <w:tcMar>
              <w:top w:w="120" w:type="dxa"/>
              <w:left w:w="150" w:type="dxa"/>
              <w:bottom w:w="120" w:type="dxa"/>
              <w:right w:w="150" w:type="dxa"/>
            </w:tcMar>
            <w:hideMark/>
          </w:tcPr>
          <w:p w14:paraId="42538429" w14:textId="60FED7F0" w:rsidR="00CA7C3A" w:rsidRPr="00CA7C3A" w:rsidRDefault="00C43A65" w:rsidP="007A0A70">
            <w:pPr>
              <w:spacing w:after="0" w:line="240" w:lineRule="auto"/>
              <w:rPr>
                <w:rFonts w:ascii="Arial" w:eastAsia="Times New Roman" w:hAnsi="Arial" w:cs="Arial"/>
              </w:rPr>
            </w:pPr>
            <w:r w:rsidRPr="00CA7C3A">
              <w:rPr>
                <w:rFonts w:ascii="Arial" w:eastAsia="Times New Roman" w:hAnsi="Arial" w:cs="Arial"/>
              </w:rPr>
              <w:t xml:space="preserve">Require </w:t>
            </w:r>
            <w:r>
              <w:rPr>
                <w:rFonts w:ascii="Arial" w:eastAsia="Times New Roman" w:hAnsi="Arial" w:cs="Arial"/>
              </w:rPr>
              <w:t xml:space="preserve">a district self-review and </w:t>
            </w:r>
            <w:r w:rsidR="002216BE">
              <w:rPr>
                <w:rFonts w:ascii="Arial" w:eastAsia="Times New Roman" w:hAnsi="Arial" w:cs="Arial"/>
              </w:rPr>
              <w:t>improvement</w:t>
            </w:r>
            <w:r>
              <w:rPr>
                <w:rFonts w:ascii="Arial" w:eastAsia="Times New Roman" w:hAnsi="Arial" w:cs="Arial"/>
              </w:rPr>
              <w:t xml:space="preserve"> plan to address the compliance and/or student results indicator(s) with lower scores</w:t>
            </w:r>
            <w:r w:rsidRPr="00CA7C3A">
              <w:rPr>
                <w:rFonts w:ascii="Arial" w:eastAsia="Times New Roman" w:hAnsi="Arial" w:cs="Arial"/>
              </w:rPr>
              <w:t>.</w:t>
            </w:r>
          </w:p>
        </w:tc>
      </w:tr>
      <w:tr w:rsidR="00CA7C3A" w:rsidRPr="00D3252E" w14:paraId="66149580" w14:textId="77777777" w:rsidTr="00EC1BB7">
        <w:trPr>
          <w:trHeight w:val="1101"/>
          <w:tblCellSpacing w:w="15" w:type="dxa"/>
        </w:trPr>
        <w:tc>
          <w:tcPr>
            <w:tcW w:w="1850" w:type="pct"/>
            <w:shd w:val="clear" w:color="auto" w:fill="FF7F7F"/>
            <w:tcMar>
              <w:top w:w="120" w:type="dxa"/>
              <w:left w:w="150" w:type="dxa"/>
              <w:bottom w:w="120" w:type="dxa"/>
              <w:right w:w="150" w:type="dxa"/>
            </w:tcMar>
            <w:vAlign w:val="center"/>
            <w:hideMark/>
          </w:tcPr>
          <w:p w14:paraId="7AB8A8BE" w14:textId="77777777" w:rsidR="00CA7C3A" w:rsidRPr="00CA7C3A" w:rsidRDefault="00CA7C3A" w:rsidP="007A0A70">
            <w:pPr>
              <w:spacing w:after="0" w:line="240" w:lineRule="auto"/>
              <w:rPr>
                <w:rFonts w:ascii="Arial" w:eastAsia="Times New Roman" w:hAnsi="Arial" w:cs="Arial"/>
              </w:rPr>
            </w:pPr>
            <w:r w:rsidRPr="00CA7C3A">
              <w:rPr>
                <w:rFonts w:ascii="Arial" w:eastAsia="Times New Roman" w:hAnsi="Arial" w:cs="Arial"/>
              </w:rPr>
              <w:t>Needs Substantial Intervention</w:t>
            </w:r>
          </w:p>
        </w:tc>
        <w:tc>
          <w:tcPr>
            <w:tcW w:w="3102" w:type="pct"/>
            <w:shd w:val="clear" w:color="auto" w:fill="FFFFFF"/>
            <w:tcMar>
              <w:top w:w="120" w:type="dxa"/>
              <w:left w:w="150" w:type="dxa"/>
              <w:bottom w:w="120" w:type="dxa"/>
              <w:right w:w="150" w:type="dxa"/>
            </w:tcMar>
            <w:hideMark/>
          </w:tcPr>
          <w:p w14:paraId="192E7324" w14:textId="77777777" w:rsidR="00CA7C3A" w:rsidRPr="00CA7C3A" w:rsidRDefault="00CA7C3A" w:rsidP="007A0A70">
            <w:pPr>
              <w:numPr>
                <w:ilvl w:val="0"/>
                <w:numId w:val="3"/>
              </w:numPr>
              <w:tabs>
                <w:tab w:val="clear" w:pos="720"/>
              </w:tabs>
              <w:spacing w:after="0" w:line="240" w:lineRule="auto"/>
              <w:ind w:left="442"/>
              <w:rPr>
                <w:rFonts w:ascii="Arial" w:eastAsia="Times New Roman" w:hAnsi="Arial" w:cs="Arial"/>
              </w:rPr>
            </w:pPr>
            <w:r w:rsidRPr="00CA7C3A">
              <w:rPr>
                <w:rFonts w:ascii="Arial" w:eastAsia="Times New Roman" w:hAnsi="Arial" w:cs="Arial"/>
              </w:rPr>
              <w:t xml:space="preserve">Withhold, in whole or in part, any Part B </w:t>
            </w:r>
            <w:proofErr w:type="gramStart"/>
            <w:r w:rsidRPr="00CA7C3A">
              <w:rPr>
                <w:rFonts w:ascii="Arial" w:eastAsia="Times New Roman" w:hAnsi="Arial" w:cs="Arial"/>
              </w:rPr>
              <w:t>funds;</w:t>
            </w:r>
            <w:proofErr w:type="gramEnd"/>
          </w:p>
          <w:p w14:paraId="2603F822" w14:textId="77777777" w:rsidR="00CA7C3A" w:rsidRPr="00CA7C3A" w:rsidRDefault="00CA7C3A" w:rsidP="007A0A70">
            <w:pPr>
              <w:numPr>
                <w:ilvl w:val="0"/>
                <w:numId w:val="3"/>
              </w:numPr>
              <w:tabs>
                <w:tab w:val="clear" w:pos="720"/>
              </w:tabs>
              <w:spacing w:after="0" w:line="240" w:lineRule="auto"/>
              <w:ind w:left="442"/>
              <w:rPr>
                <w:rFonts w:ascii="Arial" w:eastAsia="Times New Roman" w:hAnsi="Arial" w:cs="Arial"/>
              </w:rPr>
            </w:pPr>
            <w:r w:rsidRPr="00CA7C3A">
              <w:rPr>
                <w:rFonts w:ascii="Arial" w:eastAsia="Times New Roman" w:hAnsi="Arial" w:cs="Arial"/>
              </w:rPr>
              <w:t>Require completion of specific corrective actions before release of funds; and</w:t>
            </w:r>
          </w:p>
          <w:p w14:paraId="0152F1D8" w14:textId="77777777" w:rsidR="00CA7C3A" w:rsidRPr="00CA7C3A" w:rsidRDefault="00CA7C3A" w:rsidP="007A0A70">
            <w:pPr>
              <w:numPr>
                <w:ilvl w:val="0"/>
                <w:numId w:val="3"/>
              </w:numPr>
              <w:tabs>
                <w:tab w:val="clear" w:pos="720"/>
              </w:tabs>
              <w:spacing w:after="0" w:line="240" w:lineRule="auto"/>
              <w:ind w:left="442"/>
              <w:rPr>
                <w:rFonts w:ascii="Arial" w:eastAsia="Times New Roman" w:hAnsi="Arial" w:cs="Arial"/>
              </w:rPr>
            </w:pPr>
            <w:r w:rsidRPr="00CA7C3A">
              <w:rPr>
                <w:rFonts w:ascii="Arial" w:eastAsia="Times New Roman" w:hAnsi="Arial" w:cs="Arial"/>
              </w:rPr>
              <w:t>Require intensive SST support.</w:t>
            </w:r>
          </w:p>
        </w:tc>
      </w:tr>
    </w:tbl>
    <w:p w14:paraId="7C811793" w14:textId="41972196" w:rsidR="00EA4F6B" w:rsidRPr="00D3252E" w:rsidRDefault="00EA4F6B" w:rsidP="007A0A70">
      <w:pPr>
        <w:spacing w:before="120" w:after="120" w:line="240" w:lineRule="auto"/>
        <w:rPr>
          <w:rFonts w:ascii="Arial" w:hAnsi="Arial" w:cs="Arial"/>
          <w:b/>
        </w:rPr>
      </w:pPr>
      <w:r>
        <w:rPr>
          <w:rFonts w:ascii="Arial" w:eastAsia="Times New Roman" w:hAnsi="Arial" w:cs="Arial"/>
        </w:rPr>
        <w:t xml:space="preserve">The maintenance of effort provisions of IDEA </w:t>
      </w:r>
      <w:r w:rsidRPr="003C0F2A">
        <w:rPr>
          <w:rFonts w:ascii="Arial" w:eastAsia="Times New Roman" w:hAnsi="Arial" w:cs="Arial"/>
        </w:rPr>
        <w:t>§300.203(b)</w:t>
      </w:r>
      <w:r>
        <w:rPr>
          <w:rFonts w:ascii="Arial" w:eastAsia="Times New Roman" w:hAnsi="Arial" w:cs="Arial"/>
        </w:rPr>
        <w:t xml:space="preserve"> require </w:t>
      </w:r>
      <w:r w:rsidR="00186ACB">
        <w:rPr>
          <w:rFonts w:ascii="Arial" w:eastAsia="Times New Roman" w:hAnsi="Arial" w:cs="Arial"/>
        </w:rPr>
        <w:t>school district</w:t>
      </w:r>
      <w:r>
        <w:rPr>
          <w:rFonts w:ascii="Arial" w:eastAsia="Times New Roman" w:hAnsi="Arial" w:cs="Arial"/>
        </w:rPr>
        <w:t xml:space="preserve">s to maintain </w:t>
      </w:r>
      <w:r w:rsidRPr="003C0F2A">
        <w:rPr>
          <w:rFonts w:ascii="Arial" w:eastAsia="Times New Roman" w:hAnsi="Arial" w:cs="Arial"/>
        </w:rPr>
        <w:t xml:space="preserve">(or increase) the amount of local, or </w:t>
      </w:r>
      <w:r>
        <w:rPr>
          <w:rFonts w:ascii="Arial" w:eastAsia="Times New Roman" w:hAnsi="Arial" w:cs="Arial"/>
        </w:rPr>
        <w:t>s</w:t>
      </w:r>
      <w:r w:rsidRPr="003C0F2A">
        <w:rPr>
          <w:rFonts w:ascii="Arial" w:eastAsia="Times New Roman" w:hAnsi="Arial" w:cs="Arial"/>
        </w:rPr>
        <w:t xml:space="preserve">tate and local, funds </w:t>
      </w:r>
      <w:r>
        <w:rPr>
          <w:rFonts w:ascii="Arial" w:eastAsia="Times New Roman" w:hAnsi="Arial" w:cs="Arial"/>
        </w:rPr>
        <w:t>spent</w:t>
      </w:r>
      <w:r w:rsidRPr="003C0F2A">
        <w:rPr>
          <w:rFonts w:ascii="Arial" w:eastAsia="Times New Roman" w:hAnsi="Arial" w:cs="Arial"/>
        </w:rPr>
        <w:t xml:space="preserve"> for the education of children with disabilities when compared to the preceding fiscal year</w:t>
      </w:r>
      <w:r>
        <w:rPr>
          <w:rFonts w:ascii="Arial" w:eastAsia="Times New Roman" w:hAnsi="Arial" w:cs="Arial"/>
        </w:rPr>
        <w:t xml:space="preserve">. When specific criteria are met within a given fiscal year, </w:t>
      </w:r>
      <w:r w:rsidR="00186ACB">
        <w:rPr>
          <w:rFonts w:ascii="Arial" w:eastAsia="Times New Roman" w:hAnsi="Arial" w:cs="Arial"/>
        </w:rPr>
        <w:t>district</w:t>
      </w:r>
      <w:r>
        <w:rPr>
          <w:rFonts w:ascii="Arial" w:eastAsia="Times New Roman" w:hAnsi="Arial" w:cs="Arial"/>
        </w:rPr>
        <w:t xml:space="preserve">s have the flexibility to reduce their maintenance of effort. According to IDEA </w:t>
      </w:r>
      <w:r w:rsidRPr="003C0F2A">
        <w:rPr>
          <w:rFonts w:ascii="Arial" w:eastAsia="Times New Roman" w:hAnsi="Arial" w:cs="Arial"/>
        </w:rPr>
        <w:t>§300</w:t>
      </w:r>
      <w:r>
        <w:rPr>
          <w:rFonts w:ascii="Arial" w:eastAsia="Times New Roman" w:hAnsi="Arial" w:cs="Arial"/>
        </w:rPr>
        <w:t xml:space="preserve">.205(c), this flexibility is not available to </w:t>
      </w:r>
      <w:r w:rsidR="00186ACB">
        <w:rPr>
          <w:rFonts w:ascii="Arial" w:eastAsia="Times New Roman" w:hAnsi="Arial" w:cs="Arial"/>
        </w:rPr>
        <w:t>district</w:t>
      </w:r>
      <w:r>
        <w:rPr>
          <w:rFonts w:ascii="Arial" w:eastAsia="Times New Roman" w:hAnsi="Arial" w:cs="Arial"/>
        </w:rPr>
        <w:t xml:space="preserve">s </w:t>
      </w:r>
      <w:r w:rsidR="00186ACB">
        <w:rPr>
          <w:rFonts w:ascii="Arial" w:eastAsia="Times New Roman" w:hAnsi="Arial" w:cs="Arial"/>
        </w:rPr>
        <w:t>r</w:t>
      </w:r>
      <w:r>
        <w:rPr>
          <w:rFonts w:ascii="Arial" w:eastAsia="Times New Roman" w:hAnsi="Arial" w:cs="Arial"/>
        </w:rPr>
        <w:t>eceiv</w:t>
      </w:r>
      <w:r w:rsidR="00186ACB">
        <w:rPr>
          <w:rFonts w:ascii="Arial" w:eastAsia="Times New Roman" w:hAnsi="Arial" w:cs="Arial"/>
        </w:rPr>
        <w:t>ing</w:t>
      </w:r>
      <w:r>
        <w:rPr>
          <w:rFonts w:ascii="Arial" w:eastAsia="Times New Roman" w:hAnsi="Arial" w:cs="Arial"/>
        </w:rPr>
        <w:t xml:space="preserve"> annual Special Education Ratings other than </w:t>
      </w:r>
      <w:r>
        <w:rPr>
          <w:rFonts w:ascii="Arial" w:eastAsia="Times New Roman" w:hAnsi="Arial" w:cs="Arial"/>
          <w:i/>
        </w:rPr>
        <w:t>Meets Requirements.</w:t>
      </w:r>
    </w:p>
    <w:p w14:paraId="2517A581" w14:textId="2EA36E9F" w:rsidR="00CA7C3A" w:rsidRDefault="00F61B04" w:rsidP="00C87BFF">
      <w:pPr>
        <w:spacing w:before="240" w:after="120" w:line="240" w:lineRule="auto"/>
        <w:rPr>
          <w:rFonts w:ascii="Arial" w:hAnsi="Arial" w:cs="Arial"/>
          <w:b/>
        </w:rPr>
      </w:pPr>
      <w:r>
        <w:rPr>
          <w:rFonts w:ascii="Arial" w:hAnsi="Arial" w:cs="Arial"/>
          <w:b/>
        </w:rPr>
        <w:t>Calculating Ratings</w:t>
      </w:r>
    </w:p>
    <w:p w14:paraId="48F57A3A" w14:textId="37E39D81" w:rsidR="00F61B04" w:rsidRDefault="00F61B04" w:rsidP="005F5E1F">
      <w:pPr>
        <w:shd w:val="clear" w:color="auto" w:fill="FFFFFF"/>
        <w:spacing w:before="120" w:after="120" w:line="240" w:lineRule="auto"/>
        <w:rPr>
          <w:rFonts w:ascii="Arial" w:eastAsia="Times New Roman" w:hAnsi="Arial" w:cs="Arial"/>
        </w:rPr>
      </w:pPr>
      <w:r w:rsidRPr="00F61B04">
        <w:rPr>
          <w:rFonts w:ascii="Arial" w:eastAsia="Times New Roman" w:hAnsi="Arial" w:cs="Arial"/>
        </w:rPr>
        <w:t xml:space="preserve">To determine each district’s overall rating, the </w:t>
      </w:r>
      <w:r w:rsidR="00134047">
        <w:rPr>
          <w:rFonts w:ascii="Arial" w:eastAsia="Times New Roman" w:hAnsi="Arial" w:cs="Arial"/>
        </w:rPr>
        <w:t>D</w:t>
      </w:r>
      <w:r w:rsidRPr="00F61B04">
        <w:rPr>
          <w:rFonts w:ascii="Arial" w:eastAsia="Times New Roman" w:hAnsi="Arial" w:cs="Arial"/>
        </w:rPr>
        <w:t>epartment</w:t>
      </w:r>
      <w:r w:rsidR="005F5E1F">
        <w:rPr>
          <w:rFonts w:ascii="Arial" w:eastAsia="Times New Roman" w:hAnsi="Arial" w:cs="Arial"/>
        </w:rPr>
        <w:t xml:space="preserve"> t</w:t>
      </w:r>
      <w:r w:rsidRPr="005F5E1F">
        <w:rPr>
          <w:rFonts w:ascii="Arial" w:eastAsia="Times New Roman" w:hAnsi="Arial" w:cs="Arial"/>
        </w:rPr>
        <w:t xml:space="preserve">otals the points across the compliance measures and divides that total by the number of measures for which the district has data. (That total can be up to </w:t>
      </w:r>
      <w:r w:rsidR="002F3985">
        <w:rPr>
          <w:rFonts w:ascii="Arial" w:eastAsia="Times New Roman" w:hAnsi="Arial" w:cs="Arial"/>
        </w:rPr>
        <w:t>eight</w:t>
      </w:r>
      <w:r w:rsidRPr="005F5E1F">
        <w:rPr>
          <w:rFonts w:ascii="Arial" w:eastAsia="Times New Roman" w:hAnsi="Arial" w:cs="Arial"/>
        </w:rPr>
        <w:t xml:space="preserve">, </w:t>
      </w:r>
      <w:r w:rsidR="006C0DDA">
        <w:rPr>
          <w:rFonts w:ascii="Arial" w:eastAsia="Times New Roman" w:hAnsi="Arial" w:cs="Arial"/>
        </w:rPr>
        <w:t>though</w:t>
      </w:r>
      <w:r w:rsidRPr="007A0A70">
        <w:rPr>
          <w:rFonts w:ascii="Arial" w:eastAsia="Times New Roman" w:hAnsi="Arial" w:cs="Arial"/>
        </w:rPr>
        <w:t xml:space="preserve"> </w:t>
      </w:r>
      <w:r w:rsidRPr="005F5E1F">
        <w:rPr>
          <w:rFonts w:ascii="Arial" w:eastAsia="Times New Roman" w:hAnsi="Arial" w:cs="Arial"/>
        </w:rPr>
        <w:t>not every district has data for every measure each year.) This is the </w:t>
      </w:r>
      <w:r w:rsidRPr="005F5E1F">
        <w:rPr>
          <w:rFonts w:ascii="Arial" w:eastAsia="Times New Roman" w:hAnsi="Arial" w:cs="Arial"/>
          <w:b/>
          <w:bCs/>
        </w:rPr>
        <w:t>compliance score</w:t>
      </w:r>
      <w:r w:rsidRPr="005F5E1F">
        <w:rPr>
          <w:rFonts w:ascii="Arial" w:eastAsia="Times New Roman" w:hAnsi="Arial" w:cs="Arial"/>
        </w:rPr>
        <w:t>.</w:t>
      </w:r>
    </w:p>
    <w:p w14:paraId="1394FFC6" w14:textId="321E3335" w:rsidR="008D5B26" w:rsidRPr="005F5E1F" w:rsidRDefault="008D5B26" w:rsidP="005F5E1F">
      <w:pPr>
        <w:shd w:val="clear" w:color="auto" w:fill="FFFFFF"/>
        <w:spacing w:before="120" w:after="120" w:line="240" w:lineRule="auto"/>
        <w:rPr>
          <w:rFonts w:ascii="Arial" w:eastAsia="Times New Roman" w:hAnsi="Arial" w:cs="Arial"/>
        </w:rPr>
      </w:pPr>
      <w:r>
        <w:rPr>
          <w:rFonts w:ascii="Arial" w:eastAsia="Times New Roman" w:hAnsi="Arial" w:cs="Arial"/>
        </w:rPr>
        <w:t xml:space="preserve">Due to the ordered school-building closure </w:t>
      </w:r>
      <w:proofErr w:type="gramStart"/>
      <w:r>
        <w:rPr>
          <w:rFonts w:ascii="Arial" w:eastAsia="Times New Roman" w:hAnsi="Arial" w:cs="Arial"/>
        </w:rPr>
        <w:t>as a result of</w:t>
      </w:r>
      <w:proofErr w:type="gramEnd"/>
      <w:r>
        <w:rPr>
          <w:rFonts w:ascii="Arial" w:eastAsia="Times New Roman" w:hAnsi="Arial" w:cs="Arial"/>
        </w:rPr>
        <w:t xml:space="preserve"> the COVID-19 pandemic, statewide testing data is not available for the 2019-2020 school year</w:t>
      </w:r>
      <w:r w:rsidR="006C0DDA">
        <w:rPr>
          <w:rFonts w:ascii="Arial" w:eastAsia="Times New Roman" w:hAnsi="Arial" w:cs="Arial"/>
        </w:rPr>
        <w:t>.</w:t>
      </w:r>
      <w:r w:rsidR="00443918">
        <w:rPr>
          <w:rFonts w:ascii="Arial" w:eastAsia="Times New Roman" w:hAnsi="Arial" w:cs="Arial"/>
        </w:rPr>
        <w:t xml:space="preserve"> Th</w:t>
      </w:r>
      <w:r>
        <w:rPr>
          <w:rFonts w:ascii="Arial" w:eastAsia="Times New Roman" w:hAnsi="Arial" w:cs="Arial"/>
        </w:rPr>
        <w:t xml:space="preserve">e 2021 Special Education </w:t>
      </w:r>
      <w:r w:rsidR="00CE07D3" w:rsidRPr="00CE07D3">
        <w:rPr>
          <w:rFonts w:ascii="Arial" w:eastAsia="Times New Roman" w:hAnsi="Arial" w:cs="Arial"/>
        </w:rPr>
        <w:t>Rating is</w:t>
      </w:r>
      <w:r w:rsidR="00443918">
        <w:rPr>
          <w:rFonts w:ascii="Arial" w:eastAsia="Times New Roman" w:hAnsi="Arial" w:cs="Arial"/>
        </w:rPr>
        <w:t xml:space="preserve"> based entirely on compliance </w:t>
      </w:r>
      <w:r w:rsidR="00CE07D3" w:rsidRPr="00CE07D3">
        <w:rPr>
          <w:rFonts w:ascii="Arial" w:eastAsia="Times New Roman" w:hAnsi="Arial" w:cs="Arial"/>
        </w:rPr>
        <w:t>indicators. Since there is no results score for the 2021 rating, the compliance score is equal to the overall score</w:t>
      </w:r>
      <w:r w:rsidR="00443918">
        <w:rPr>
          <w:rFonts w:ascii="Arial" w:eastAsia="Times New Roman" w:hAnsi="Arial" w:cs="Arial"/>
        </w:rPr>
        <w:t>.</w:t>
      </w:r>
    </w:p>
    <w:p w14:paraId="62665199" w14:textId="1B1D9FF5" w:rsidR="00F61B04" w:rsidRDefault="00F61B04" w:rsidP="007A0A70">
      <w:pPr>
        <w:shd w:val="clear" w:color="auto" w:fill="FFFFFF"/>
        <w:spacing w:before="120" w:after="120" w:line="240" w:lineRule="auto"/>
        <w:rPr>
          <w:rFonts w:ascii="Arial" w:eastAsia="Times New Roman" w:hAnsi="Arial" w:cs="Arial"/>
        </w:rPr>
      </w:pPr>
      <w:r w:rsidRPr="00F61B04">
        <w:rPr>
          <w:rFonts w:ascii="Arial" w:eastAsia="Times New Roman" w:hAnsi="Arial" w:cs="Arial"/>
        </w:rPr>
        <w:t xml:space="preserve">The </w:t>
      </w:r>
      <w:r w:rsidR="002F3985">
        <w:rPr>
          <w:rFonts w:ascii="Arial" w:eastAsia="Times New Roman" w:hAnsi="Arial" w:cs="Arial"/>
        </w:rPr>
        <w:t>compliance</w:t>
      </w:r>
      <w:r w:rsidRPr="00F61B04">
        <w:rPr>
          <w:rFonts w:ascii="Arial" w:eastAsia="Times New Roman" w:hAnsi="Arial" w:cs="Arial"/>
        </w:rPr>
        <w:t xml:space="preserve"> score corresponds to a point range for each rating category, as follows:</w:t>
      </w:r>
    </w:p>
    <w:tbl>
      <w:tblPr>
        <w:tblStyle w:val="TableGrid"/>
        <w:tblW w:w="0" w:type="auto"/>
        <w:tblLook w:val="04A0" w:firstRow="1" w:lastRow="0" w:firstColumn="1" w:lastColumn="0" w:noHBand="0" w:noVBand="1"/>
      </w:tblPr>
      <w:tblGrid>
        <w:gridCol w:w="4675"/>
        <w:gridCol w:w="4675"/>
      </w:tblGrid>
      <w:tr w:rsidR="0030295F" w14:paraId="4FAF6C8C" w14:textId="77777777" w:rsidTr="0030295F">
        <w:tc>
          <w:tcPr>
            <w:tcW w:w="4675" w:type="dxa"/>
            <w:shd w:val="clear" w:color="auto" w:fill="BFBFBF" w:themeFill="background1" w:themeFillShade="BF"/>
          </w:tcPr>
          <w:p w14:paraId="28F25770" w14:textId="7A266397" w:rsidR="0030295F" w:rsidRPr="0030295F" w:rsidRDefault="0030295F" w:rsidP="007A0A70">
            <w:pPr>
              <w:spacing w:before="120" w:after="120"/>
              <w:jc w:val="center"/>
              <w:rPr>
                <w:rFonts w:ascii="Arial" w:eastAsia="Times New Roman" w:hAnsi="Arial" w:cs="Arial"/>
                <w:b/>
              </w:rPr>
            </w:pPr>
            <w:r w:rsidRPr="0030295F">
              <w:rPr>
                <w:rFonts w:ascii="Arial" w:hAnsi="Arial" w:cs="Arial"/>
                <w:b/>
              </w:rPr>
              <w:t>Overall Score</w:t>
            </w:r>
          </w:p>
        </w:tc>
        <w:tc>
          <w:tcPr>
            <w:tcW w:w="4675" w:type="dxa"/>
            <w:shd w:val="clear" w:color="auto" w:fill="BFBFBF" w:themeFill="background1" w:themeFillShade="BF"/>
          </w:tcPr>
          <w:p w14:paraId="74111DC1" w14:textId="5B5F3646" w:rsidR="0030295F" w:rsidRPr="0030295F" w:rsidRDefault="0030295F" w:rsidP="007A0A70">
            <w:pPr>
              <w:spacing w:before="120" w:after="120"/>
              <w:jc w:val="center"/>
              <w:rPr>
                <w:rFonts w:ascii="Arial" w:eastAsia="Times New Roman" w:hAnsi="Arial" w:cs="Arial"/>
                <w:b/>
              </w:rPr>
            </w:pPr>
            <w:r w:rsidRPr="0030295F">
              <w:rPr>
                <w:rFonts w:ascii="Arial" w:hAnsi="Arial" w:cs="Arial"/>
                <w:b/>
              </w:rPr>
              <w:t>20</w:t>
            </w:r>
            <w:r w:rsidR="007A320D">
              <w:rPr>
                <w:rFonts w:ascii="Arial" w:hAnsi="Arial" w:cs="Arial"/>
                <w:b/>
              </w:rPr>
              <w:t>2</w:t>
            </w:r>
            <w:r w:rsidR="00B63072">
              <w:rPr>
                <w:rFonts w:ascii="Arial" w:hAnsi="Arial" w:cs="Arial"/>
                <w:b/>
              </w:rPr>
              <w:t>1</w:t>
            </w:r>
            <w:r w:rsidRPr="0030295F">
              <w:rPr>
                <w:rFonts w:ascii="Arial" w:hAnsi="Arial" w:cs="Arial"/>
                <w:b/>
              </w:rPr>
              <w:t xml:space="preserve"> Rating</w:t>
            </w:r>
          </w:p>
        </w:tc>
      </w:tr>
      <w:tr w:rsidR="0030295F" w14:paraId="50B0FA3D" w14:textId="77777777" w:rsidTr="008150CB">
        <w:tc>
          <w:tcPr>
            <w:tcW w:w="4675" w:type="dxa"/>
          </w:tcPr>
          <w:p w14:paraId="17E42562" w14:textId="5A2D4B22" w:rsidR="0030295F" w:rsidRPr="0030295F" w:rsidRDefault="0030295F" w:rsidP="007A0A70">
            <w:pPr>
              <w:spacing w:before="120" w:after="120"/>
              <w:jc w:val="center"/>
              <w:rPr>
                <w:rFonts w:ascii="Arial" w:eastAsia="Times New Roman" w:hAnsi="Arial" w:cs="Arial"/>
              </w:rPr>
            </w:pPr>
            <w:r w:rsidRPr="0030295F">
              <w:rPr>
                <w:rFonts w:ascii="Arial" w:hAnsi="Arial" w:cs="Arial"/>
              </w:rPr>
              <w:t>3.75 – 4.00 points</w:t>
            </w:r>
          </w:p>
        </w:tc>
        <w:tc>
          <w:tcPr>
            <w:tcW w:w="4675" w:type="dxa"/>
          </w:tcPr>
          <w:p w14:paraId="267AD102" w14:textId="16A83A69" w:rsidR="0030295F" w:rsidRPr="0030295F" w:rsidRDefault="0030295F" w:rsidP="007A0A70">
            <w:pPr>
              <w:spacing w:before="120" w:after="120"/>
              <w:rPr>
                <w:rFonts w:ascii="Arial" w:eastAsia="Times New Roman" w:hAnsi="Arial" w:cs="Arial"/>
              </w:rPr>
            </w:pPr>
            <w:r w:rsidRPr="0030295F">
              <w:rPr>
                <w:rFonts w:ascii="Arial" w:hAnsi="Arial" w:cs="Arial"/>
              </w:rPr>
              <w:t>Meets Requirements</w:t>
            </w:r>
          </w:p>
        </w:tc>
      </w:tr>
      <w:tr w:rsidR="0030295F" w14:paraId="52AD00E5" w14:textId="77777777" w:rsidTr="008150CB">
        <w:tc>
          <w:tcPr>
            <w:tcW w:w="4675" w:type="dxa"/>
          </w:tcPr>
          <w:p w14:paraId="307CDF10" w14:textId="4ED58691" w:rsidR="0030295F" w:rsidRPr="0030295F" w:rsidRDefault="0030295F" w:rsidP="007A0A70">
            <w:pPr>
              <w:spacing w:before="120" w:after="120"/>
              <w:jc w:val="center"/>
              <w:rPr>
                <w:rFonts w:ascii="Arial" w:eastAsia="Times New Roman" w:hAnsi="Arial" w:cs="Arial"/>
              </w:rPr>
            </w:pPr>
            <w:r w:rsidRPr="0030295F">
              <w:rPr>
                <w:rFonts w:ascii="Arial" w:hAnsi="Arial" w:cs="Arial"/>
              </w:rPr>
              <w:t>3.00 – 3.74 points</w:t>
            </w:r>
          </w:p>
        </w:tc>
        <w:tc>
          <w:tcPr>
            <w:tcW w:w="4675" w:type="dxa"/>
          </w:tcPr>
          <w:p w14:paraId="418627AD" w14:textId="709839E5" w:rsidR="0030295F" w:rsidRPr="0030295F" w:rsidRDefault="0030295F" w:rsidP="007A0A70">
            <w:pPr>
              <w:spacing w:before="120" w:after="120"/>
              <w:rPr>
                <w:rFonts w:ascii="Arial" w:eastAsia="Times New Roman" w:hAnsi="Arial" w:cs="Arial"/>
              </w:rPr>
            </w:pPr>
            <w:r w:rsidRPr="0030295F">
              <w:rPr>
                <w:rFonts w:ascii="Arial" w:hAnsi="Arial" w:cs="Arial"/>
              </w:rPr>
              <w:t>Needs Assistance</w:t>
            </w:r>
          </w:p>
        </w:tc>
      </w:tr>
      <w:tr w:rsidR="0030295F" w14:paraId="21F30D34" w14:textId="77777777" w:rsidTr="008150CB">
        <w:tc>
          <w:tcPr>
            <w:tcW w:w="4675" w:type="dxa"/>
          </w:tcPr>
          <w:p w14:paraId="5208445B" w14:textId="1AF20280" w:rsidR="0030295F" w:rsidRPr="0030295F" w:rsidRDefault="0030295F" w:rsidP="007A0A70">
            <w:pPr>
              <w:spacing w:before="120" w:after="120"/>
              <w:jc w:val="center"/>
              <w:rPr>
                <w:rFonts w:ascii="Arial" w:eastAsia="Times New Roman" w:hAnsi="Arial" w:cs="Arial"/>
              </w:rPr>
            </w:pPr>
            <w:r w:rsidRPr="0030295F">
              <w:rPr>
                <w:rFonts w:ascii="Arial" w:hAnsi="Arial" w:cs="Arial"/>
              </w:rPr>
              <w:t>1.25 – 2.99 points</w:t>
            </w:r>
          </w:p>
        </w:tc>
        <w:tc>
          <w:tcPr>
            <w:tcW w:w="4675" w:type="dxa"/>
          </w:tcPr>
          <w:p w14:paraId="223337DE" w14:textId="5156A92A" w:rsidR="0030295F" w:rsidRPr="0030295F" w:rsidRDefault="0030295F" w:rsidP="007A0A70">
            <w:pPr>
              <w:spacing w:before="120" w:after="120"/>
              <w:rPr>
                <w:rFonts w:ascii="Arial" w:eastAsia="Times New Roman" w:hAnsi="Arial" w:cs="Arial"/>
              </w:rPr>
            </w:pPr>
            <w:r w:rsidRPr="0030295F">
              <w:rPr>
                <w:rFonts w:ascii="Arial" w:hAnsi="Arial" w:cs="Arial"/>
              </w:rPr>
              <w:t>Needs Intervention</w:t>
            </w:r>
          </w:p>
        </w:tc>
      </w:tr>
      <w:tr w:rsidR="0030295F" w14:paraId="2CFA01CA" w14:textId="77777777" w:rsidTr="008150CB">
        <w:tc>
          <w:tcPr>
            <w:tcW w:w="4675" w:type="dxa"/>
          </w:tcPr>
          <w:p w14:paraId="044E374C" w14:textId="04A480BC" w:rsidR="0030295F" w:rsidRPr="0030295F" w:rsidRDefault="0030295F" w:rsidP="007A0A70">
            <w:pPr>
              <w:spacing w:before="120" w:after="120"/>
              <w:jc w:val="center"/>
              <w:rPr>
                <w:rFonts w:ascii="Arial" w:eastAsia="Times New Roman" w:hAnsi="Arial" w:cs="Arial"/>
              </w:rPr>
            </w:pPr>
            <w:r w:rsidRPr="0030295F">
              <w:rPr>
                <w:rFonts w:ascii="Arial" w:hAnsi="Arial" w:cs="Arial"/>
              </w:rPr>
              <w:t>&lt;1.25 points</w:t>
            </w:r>
          </w:p>
        </w:tc>
        <w:tc>
          <w:tcPr>
            <w:tcW w:w="4675" w:type="dxa"/>
          </w:tcPr>
          <w:p w14:paraId="47AC02F3" w14:textId="35EB62EC" w:rsidR="0030295F" w:rsidRPr="0030295F" w:rsidRDefault="0030295F" w:rsidP="007A0A70">
            <w:pPr>
              <w:spacing w:before="120" w:after="120"/>
              <w:rPr>
                <w:rFonts w:ascii="Arial" w:eastAsia="Times New Roman" w:hAnsi="Arial" w:cs="Arial"/>
              </w:rPr>
            </w:pPr>
            <w:r w:rsidRPr="0030295F">
              <w:rPr>
                <w:rFonts w:ascii="Arial" w:hAnsi="Arial" w:cs="Arial"/>
              </w:rPr>
              <w:t>Needs Substantial Intervention</w:t>
            </w:r>
          </w:p>
        </w:tc>
      </w:tr>
    </w:tbl>
    <w:p w14:paraId="5DBF8B75" w14:textId="77777777" w:rsidR="003F5301" w:rsidRDefault="003F5301" w:rsidP="007A0A70">
      <w:pPr>
        <w:spacing w:before="120" w:after="120" w:line="240" w:lineRule="auto"/>
        <w:rPr>
          <w:rFonts w:ascii="Arial" w:hAnsi="Arial" w:cs="Arial"/>
          <w:b/>
        </w:rPr>
      </w:pPr>
      <w:r>
        <w:rPr>
          <w:rFonts w:ascii="Arial" w:hAnsi="Arial" w:cs="Arial"/>
          <w:b/>
        </w:rPr>
        <w:br w:type="page"/>
      </w:r>
    </w:p>
    <w:p w14:paraId="2ED387E8" w14:textId="04A2345D" w:rsidR="00D3252E" w:rsidRDefault="00D3252E" w:rsidP="007A0A70">
      <w:pPr>
        <w:spacing w:before="120" w:after="120" w:line="240" w:lineRule="auto"/>
        <w:rPr>
          <w:rFonts w:ascii="Arial" w:hAnsi="Arial" w:cs="Arial"/>
          <w:b/>
        </w:rPr>
      </w:pPr>
      <w:r>
        <w:rPr>
          <w:rFonts w:ascii="Arial" w:hAnsi="Arial" w:cs="Arial"/>
          <w:b/>
        </w:rPr>
        <w:lastRenderedPageBreak/>
        <w:t>Performance on Compliance Indicators</w:t>
      </w:r>
    </w:p>
    <w:p w14:paraId="3AEFF29A" w14:textId="77777777" w:rsidR="00BA6573" w:rsidRPr="00D3252E" w:rsidRDefault="00BA6573" w:rsidP="00BA6573">
      <w:pPr>
        <w:shd w:val="clear" w:color="auto" w:fill="FFFFFF"/>
        <w:spacing w:before="120" w:after="120" w:line="240" w:lineRule="auto"/>
        <w:rPr>
          <w:rFonts w:ascii="Arial" w:eastAsia="Times New Roman" w:hAnsi="Arial" w:cs="Arial"/>
        </w:rPr>
      </w:pPr>
      <w:r w:rsidRPr="00F7519E">
        <w:rPr>
          <w:rFonts w:ascii="Arial" w:eastAsia="Times New Roman" w:hAnsi="Arial" w:cs="Arial"/>
          <w:b/>
          <w:bCs/>
        </w:rPr>
        <w:t xml:space="preserve">Indicator </w:t>
      </w:r>
      <w:proofErr w:type="spellStart"/>
      <w:r w:rsidRPr="00F7519E">
        <w:rPr>
          <w:rFonts w:ascii="Arial" w:eastAsia="Times New Roman" w:hAnsi="Arial" w:cs="Arial"/>
          <w:b/>
          <w:bCs/>
        </w:rPr>
        <w:t>4b</w:t>
      </w:r>
      <w:proofErr w:type="spellEnd"/>
      <w:r w:rsidRPr="00F7519E">
        <w:rPr>
          <w:rFonts w:ascii="Arial" w:eastAsia="Times New Roman" w:hAnsi="Arial" w:cs="Arial"/>
          <w:b/>
          <w:bCs/>
        </w:rPr>
        <w:t>:</w:t>
      </w:r>
      <w:r w:rsidRPr="00F7519E">
        <w:rPr>
          <w:rFonts w:ascii="Arial" w:eastAsia="Times New Roman" w:hAnsi="Arial" w:cs="Arial"/>
        </w:rPr>
        <w:t> </w:t>
      </w:r>
      <w:r w:rsidRPr="00D3252E">
        <w:rPr>
          <w:rFonts w:ascii="Arial" w:eastAsia="Times New Roman" w:hAnsi="Arial" w:cs="Arial"/>
        </w:rPr>
        <w:t>Disproportionality - Discipline</w:t>
      </w:r>
    </w:p>
    <w:p w14:paraId="223AC4D4" w14:textId="2A27D898" w:rsidR="00BA6573" w:rsidRPr="00D3252E" w:rsidRDefault="00BA6573" w:rsidP="00BA6573">
      <w:pPr>
        <w:shd w:val="clear" w:color="auto" w:fill="FFFFFF"/>
        <w:spacing w:before="120" w:after="120" w:line="240" w:lineRule="auto"/>
        <w:rPr>
          <w:rFonts w:ascii="Arial" w:eastAsia="Times New Roman" w:hAnsi="Arial" w:cs="Arial"/>
        </w:rPr>
      </w:pPr>
      <w:r w:rsidRPr="00D3252E">
        <w:rPr>
          <w:rFonts w:ascii="Arial" w:eastAsia="Times New Roman" w:hAnsi="Arial" w:cs="Arial"/>
        </w:rPr>
        <w:t xml:space="preserve">Target: </w:t>
      </w:r>
      <w:r>
        <w:rPr>
          <w:rFonts w:ascii="Arial" w:eastAsia="Times New Roman" w:hAnsi="Arial" w:cs="Arial"/>
        </w:rPr>
        <w:t>Risk ratio l</w:t>
      </w:r>
      <w:r w:rsidRPr="00D3252E">
        <w:rPr>
          <w:rFonts w:ascii="Arial" w:eastAsia="Times New Roman" w:hAnsi="Arial" w:cs="Arial"/>
        </w:rPr>
        <w:t>ess than</w:t>
      </w:r>
      <w:r>
        <w:rPr>
          <w:rFonts w:ascii="Arial" w:eastAsia="Times New Roman" w:hAnsi="Arial" w:cs="Arial"/>
        </w:rPr>
        <w:t xml:space="preserve"> or equal to</w:t>
      </w:r>
      <w:r w:rsidRPr="00D3252E">
        <w:rPr>
          <w:rFonts w:ascii="Arial" w:eastAsia="Times New Roman" w:hAnsi="Arial" w:cs="Arial"/>
        </w:rPr>
        <w:t xml:space="preserve"> </w:t>
      </w:r>
      <w:r>
        <w:rPr>
          <w:rFonts w:ascii="Arial" w:eastAsia="Times New Roman" w:hAnsi="Arial" w:cs="Arial"/>
        </w:rPr>
        <w:t>2</w:t>
      </w:r>
      <w:r w:rsidRPr="00D3252E">
        <w:rPr>
          <w:rFonts w:ascii="Arial" w:eastAsia="Times New Roman" w:hAnsi="Arial" w:cs="Arial"/>
        </w:rPr>
        <w:t>.5</w:t>
      </w:r>
      <w:r>
        <w:rPr>
          <w:rFonts w:ascii="Arial" w:eastAsia="Times New Roman" w:hAnsi="Arial" w:cs="Arial"/>
        </w:rPr>
        <w:t>0</w:t>
      </w:r>
    </w:p>
    <w:tbl>
      <w:tblPr>
        <w:tblW w:w="5000" w:type="pct"/>
        <w:tblCellSpacing w:w="15"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CellMar>
          <w:top w:w="15" w:type="dxa"/>
          <w:left w:w="15" w:type="dxa"/>
          <w:bottom w:w="15" w:type="dxa"/>
          <w:right w:w="15" w:type="dxa"/>
        </w:tblCellMar>
        <w:tblLook w:val="04A0" w:firstRow="1" w:lastRow="0" w:firstColumn="1" w:lastColumn="0" w:noHBand="0" w:noVBand="1"/>
      </w:tblPr>
      <w:tblGrid>
        <w:gridCol w:w="1614"/>
        <w:gridCol w:w="7730"/>
      </w:tblGrid>
      <w:tr w:rsidR="00BA6573" w:rsidRPr="00D3252E" w14:paraId="7E283739" w14:textId="77777777" w:rsidTr="00993B86">
        <w:trPr>
          <w:tblHeader/>
          <w:tblCellSpacing w:w="15" w:type="dxa"/>
        </w:trPr>
        <w:tc>
          <w:tcPr>
            <w:tcW w:w="4968" w:type="pct"/>
            <w:gridSpan w:val="2"/>
            <w:shd w:val="clear" w:color="auto" w:fill="auto"/>
            <w:tcMar>
              <w:top w:w="150" w:type="dxa"/>
              <w:left w:w="270" w:type="dxa"/>
              <w:bottom w:w="150" w:type="dxa"/>
              <w:right w:w="270" w:type="dxa"/>
            </w:tcMar>
            <w:vAlign w:val="bottom"/>
            <w:hideMark/>
          </w:tcPr>
          <w:p w14:paraId="17B7B85B" w14:textId="77777777" w:rsidR="00BA6573" w:rsidRPr="00D3252E" w:rsidRDefault="00BA6573" w:rsidP="00BA6573">
            <w:pPr>
              <w:spacing w:after="0" w:line="240" w:lineRule="auto"/>
              <w:rPr>
                <w:rFonts w:ascii="Arial" w:eastAsia="Times New Roman" w:hAnsi="Arial" w:cs="Arial"/>
                <w:b/>
                <w:bCs/>
              </w:rPr>
            </w:pPr>
            <w:r w:rsidRPr="00D3252E">
              <w:rPr>
                <w:rFonts w:ascii="Arial" w:eastAsia="Times New Roman" w:hAnsi="Arial" w:cs="Arial"/>
                <w:b/>
                <w:bCs/>
              </w:rPr>
              <w:t xml:space="preserve">Indicator </w:t>
            </w:r>
            <w:proofErr w:type="spellStart"/>
            <w:r w:rsidRPr="00D3252E">
              <w:rPr>
                <w:rFonts w:ascii="Arial" w:eastAsia="Times New Roman" w:hAnsi="Arial" w:cs="Arial"/>
                <w:b/>
                <w:bCs/>
              </w:rPr>
              <w:t>4b</w:t>
            </w:r>
            <w:proofErr w:type="spellEnd"/>
            <w:r w:rsidRPr="00D3252E">
              <w:rPr>
                <w:rFonts w:ascii="Arial" w:eastAsia="Times New Roman" w:hAnsi="Arial" w:cs="Arial"/>
                <w:b/>
                <w:bCs/>
              </w:rPr>
              <w:t> - Significant discrepancies, by race or ethnicity, in the rate of suspensions and expulsions of greater than 10 days in a school year for children with IEPs </w:t>
            </w:r>
            <w:r w:rsidRPr="00D3252E">
              <w:rPr>
                <w:rFonts w:ascii="Arial" w:eastAsia="Times New Roman" w:hAnsi="Arial" w:cs="Arial"/>
                <w:b/>
                <w:bCs/>
                <w:i/>
                <w:iCs/>
              </w:rPr>
              <w:t>and</w:t>
            </w:r>
            <w:r w:rsidRPr="00D3252E">
              <w:rPr>
                <w:rFonts w:ascii="Arial" w:eastAsia="Times New Roman" w:hAnsi="Arial" w:cs="Arial"/>
                <w:b/>
                <w:bCs/>
              </w:rPr>
              <w:t> policies, procedures or practices that contribute to the significant discrepancy and do not comply with IDEA discipline requirements.</w:t>
            </w:r>
          </w:p>
        </w:tc>
      </w:tr>
      <w:tr w:rsidR="00BA6573" w:rsidRPr="00D3252E" w14:paraId="76D64389" w14:textId="77777777" w:rsidTr="00BA6573">
        <w:trPr>
          <w:tblCellSpacing w:w="15" w:type="dxa"/>
        </w:trPr>
        <w:tc>
          <w:tcPr>
            <w:tcW w:w="843" w:type="pct"/>
            <w:shd w:val="clear" w:color="auto" w:fill="FFFFFF"/>
            <w:tcMar>
              <w:top w:w="120" w:type="dxa"/>
              <w:left w:w="150" w:type="dxa"/>
              <w:bottom w:w="120" w:type="dxa"/>
              <w:right w:w="150" w:type="dxa"/>
            </w:tcMar>
            <w:hideMark/>
          </w:tcPr>
          <w:p w14:paraId="67DB8070" w14:textId="77777777" w:rsidR="00BA6573" w:rsidRPr="00D3252E" w:rsidRDefault="00BA6573" w:rsidP="00BA6573">
            <w:pPr>
              <w:spacing w:after="0" w:line="240" w:lineRule="auto"/>
              <w:rPr>
                <w:rFonts w:ascii="Arial" w:eastAsia="Times New Roman" w:hAnsi="Arial" w:cs="Arial"/>
              </w:rPr>
            </w:pPr>
            <w:r w:rsidRPr="00D3252E">
              <w:rPr>
                <w:rFonts w:ascii="Arial" w:eastAsia="Times New Roman" w:hAnsi="Arial" w:cs="Arial"/>
                <w:b/>
                <w:bCs/>
              </w:rPr>
              <w:t>Data Source</w:t>
            </w:r>
          </w:p>
        </w:tc>
        <w:tc>
          <w:tcPr>
            <w:tcW w:w="4109" w:type="pct"/>
            <w:shd w:val="clear" w:color="auto" w:fill="FFFFFF"/>
            <w:tcMar>
              <w:top w:w="120" w:type="dxa"/>
              <w:left w:w="150" w:type="dxa"/>
              <w:bottom w:w="120" w:type="dxa"/>
              <w:right w:w="150" w:type="dxa"/>
            </w:tcMar>
            <w:hideMark/>
          </w:tcPr>
          <w:p w14:paraId="6ADB36E8" w14:textId="05A2A4A9" w:rsidR="00BA6573" w:rsidRPr="00D3252E" w:rsidRDefault="008A6F8B" w:rsidP="00BA6573">
            <w:pPr>
              <w:spacing w:after="0" w:line="240" w:lineRule="auto"/>
              <w:rPr>
                <w:rFonts w:ascii="Arial" w:eastAsia="Times New Roman" w:hAnsi="Arial" w:cs="Arial"/>
              </w:rPr>
            </w:pPr>
            <w:r>
              <w:rPr>
                <w:rFonts w:ascii="Arial" w:eastAsia="Times New Roman" w:hAnsi="Arial" w:cs="Arial"/>
              </w:rPr>
              <w:t>Data collected in 2017-2018, 208-2019, and 2019-2020</w:t>
            </w:r>
            <w:r w:rsidRPr="0032033E">
              <w:rPr>
                <w:rFonts w:ascii="Arial" w:eastAsia="Times New Roman" w:hAnsi="Arial" w:cs="Arial"/>
              </w:rPr>
              <w:t xml:space="preserve"> EMIS year-end </w:t>
            </w:r>
            <w:r w:rsidR="00374753">
              <w:rPr>
                <w:rFonts w:ascii="Arial" w:eastAsia="Times New Roman" w:hAnsi="Arial" w:cs="Arial"/>
              </w:rPr>
              <w:t xml:space="preserve">discipline and </w:t>
            </w:r>
            <w:r w:rsidRPr="0032033E">
              <w:rPr>
                <w:rFonts w:ascii="Arial" w:eastAsia="Times New Roman" w:hAnsi="Arial" w:cs="Arial"/>
              </w:rPr>
              <w:t>enrollment files</w:t>
            </w:r>
            <w:r w:rsidR="00374753">
              <w:rPr>
                <w:rFonts w:ascii="Arial" w:eastAsia="Times New Roman" w:hAnsi="Arial" w:cs="Arial"/>
              </w:rPr>
              <w:t>,</w:t>
            </w:r>
            <w:r w:rsidRPr="0032033E">
              <w:rPr>
                <w:rFonts w:ascii="Arial" w:eastAsia="Times New Roman" w:hAnsi="Arial" w:cs="Arial"/>
              </w:rPr>
              <w:t xml:space="preserve"> calculated to identify districts with significant </w:t>
            </w:r>
            <w:r w:rsidR="00BA6573" w:rsidRPr="00D3252E">
              <w:rPr>
                <w:rFonts w:ascii="Arial" w:eastAsia="Times New Roman" w:hAnsi="Arial" w:cs="Arial"/>
              </w:rPr>
              <w:t>discrepancies.</w:t>
            </w:r>
          </w:p>
        </w:tc>
      </w:tr>
      <w:tr w:rsidR="00BA6573" w:rsidRPr="00D3252E" w14:paraId="02044063" w14:textId="77777777" w:rsidTr="00BA6573">
        <w:trPr>
          <w:tblCellSpacing w:w="15" w:type="dxa"/>
        </w:trPr>
        <w:tc>
          <w:tcPr>
            <w:tcW w:w="843" w:type="pct"/>
            <w:shd w:val="clear" w:color="auto" w:fill="FFFFFF"/>
            <w:tcMar>
              <w:top w:w="120" w:type="dxa"/>
              <w:left w:w="150" w:type="dxa"/>
              <w:bottom w:w="120" w:type="dxa"/>
              <w:right w:w="150" w:type="dxa"/>
            </w:tcMar>
            <w:hideMark/>
          </w:tcPr>
          <w:p w14:paraId="14E9D648" w14:textId="77777777" w:rsidR="00BA6573" w:rsidRPr="00D3252E" w:rsidRDefault="00BA6573" w:rsidP="00BA6573">
            <w:pPr>
              <w:spacing w:after="0" w:line="240" w:lineRule="auto"/>
              <w:rPr>
                <w:rFonts w:ascii="Arial" w:eastAsia="Times New Roman" w:hAnsi="Arial" w:cs="Arial"/>
              </w:rPr>
            </w:pPr>
            <w:r w:rsidRPr="00D3252E">
              <w:rPr>
                <w:rFonts w:ascii="Arial" w:eastAsia="Times New Roman" w:hAnsi="Arial" w:cs="Arial"/>
                <w:b/>
                <w:bCs/>
              </w:rPr>
              <w:t>Notes</w:t>
            </w:r>
          </w:p>
        </w:tc>
        <w:tc>
          <w:tcPr>
            <w:tcW w:w="4109" w:type="pct"/>
            <w:shd w:val="clear" w:color="auto" w:fill="FFFFFF"/>
            <w:tcMar>
              <w:top w:w="120" w:type="dxa"/>
              <w:left w:w="150" w:type="dxa"/>
              <w:bottom w:w="120" w:type="dxa"/>
              <w:right w:w="150" w:type="dxa"/>
            </w:tcMar>
            <w:hideMark/>
          </w:tcPr>
          <w:p w14:paraId="69CE5734" w14:textId="77777777" w:rsidR="00BA6573" w:rsidRPr="00D3252E" w:rsidRDefault="00BA6573" w:rsidP="00BA6573">
            <w:pPr>
              <w:spacing w:after="0" w:line="240" w:lineRule="auto"/>
              <w:rPr>
                <w:rFonts w:ascii="Arial" w:eastAsia="Times New Roman" w:hAnsi="Arial" w:cs="Arial"/>
              </w:rPr>
            </w:pPr>
            <w:r w:rsidRPr="00D3252E">
              <w:rPr>
                <w:rFonts w:ascii="Arial" w:eastAsia="Times New Roman" w:hAnsi="Arial" w:cs="Arial"/>
              </w:rPr>
              <w:t xml:space="preserve">The measurement for Indicator </w:t>
            </w:r>
            <w:proofErr w:type="spellStart"/>
            <w:r w:rsidRPr="00D3252E">
              <w:rPr>
                <w:rFonts w:ascii="Arial" w:eastAsia="Times New Roman" w:hAnsi="Arial" w:cs="Arial"/>
              </w:rPr>
              <w:t>4b</w:t>
            </w:r>
            <w:proofErr w:type="spellEnd"/>
            <w:r w:rsidRPr="00D3252E">
              <w:rPr>
                <w:rFonts w:ascii="Arial" w:eastAsia="Times New Roman" w:hAnsi="Arial" w:cs="Arial"/>
              </w:rPr>
              <w:t xml:space="preserve"> requires two steps:</w:t>
            </w:r>
          </w:p>
          <w:p w14:paraId="2BF457EF" w14:textId="58C525A3" w:rsidR="00BA6573" w:rsidRPr="00D3252E" w:rsidRDefault="00BA6573" w:rsidP="00BA6573">
            <w:pPr>
              <w:numPr>
                <w:ilvl w:val="0"/>
                <w:numId w:val="4"/>
              </w:numPr>
              <w:spacing w:after="0" w:line="240" w:lineRule="auto"/>
              <w:rPr>
                <w:rFonts w:ascii="Arial" w:eastAsia="Times New Roman" w:hAnsi="Arial" w:cs="Arial"/>
              </w:rPr>
            </w:pPr>
            <w:r>
              <w:rPr>
                <w:rFonts w:ascii="Arial" w:eastAsia="Times New Roman" w:hAnsi="Arial" w:cs="Arial"/>
              </w:rPr>
              <w:t>T</w:t>
            </w:r>
            <w:r w:rsidRPr="00D3252E">
              <w:rPr>
                <w:rFonts w:ascii="Arial" w:eastAsia="Times New Roman" w:hAnsi="Arial" w:cs="Arial"/>
              </w:rPr>
              <w:t xml:space="preserve">he </w:t>
            </w:r>
            <w:r>
              <w:rPr>
                <w:rFonts w:ascii="Arial" w:eastAsia="Times New Roman" w:hAnsi="Arial" w:cs="Arial"/>
              </w:rPr>
              <w:t>D</w:t>
            </w:r>
            <w:r w:rsidRPr="00D3252E">
              <w:rPr>
                <w:rFonts w:ascii="Arial" w:eastAsia="Times New Roman" w:hAnsi="Arial" w:cs="Arial"/>
              </w:rPr>
              <w:t xml:space="preserve">epartment identifies significant discipline discrepancies in districts with risk ratios </w:t>
            </w:r>
            <w:r>
              <w:rPr>
                <w:rFonts w:ascii="Arial" w:eastAsia="Times New Roman" w:hAnsi="Arial" w:cs="Arial"/>
              </w:rPr>
              <w:t>greater than 2</w:t>
            </w:r>
            <w:r w:rsidRPr="00D3252E">
              <w:rPr>
                <w:rFonts w:ascii="Arial" w:eastAsia="Times New Roman" w:hAnsi="Arial" w:cs="Arial"/>
              </w:rPr>
              <w:t>.5</w:t>
            </w:r>
            <w:r>
              <w:rPr>
                <w:rFonts w:ascii="Arial" w:eastAsia="Times New Roman" w:hAnsi="Arial" w:cs="Arial"/>
              </w:rPr>
              <w:t>0</w:t>
            </w:r>
            <w:r w:rsidR="0076733B">
              <w:rPr>
                <w:rFonts w:ascii="Arial" w:eastAsia="Times New Roman" w:hAnsi="Arial" w:cs="Arial"/>
              </w:rPr>
              <w:t xml:space="preserve"> for three consecutive years</w:t>
            </w:r>
            <w:r w:rsidR="009B5203">
              <w:rPr>
                <w:rFonts w:ascii="Arial" w:eastAsia="Times New Roman" w:hAnsi="Arial" w:cs="Arial"/>
              </w:rPr>
              <w:t xml:space="preserve">, </w:t>
            </w:r>
            <w:r w:rsidR="009B5203" w:rsidRPr="0032033E">
              <w:rPr>
                <w:rFonts w:ascii="Arial" w:eastAsia="Times New Roman" w:hAnsi="Arial" w:cs="Arial"/>
              </w:rPr>
              <w:t xml:space="preserve">using a minimum </w:t>
            </w:r>
            <w:r w:rsidR="009B5203">
              <w:rPr>
                <w:rFonts w:ascii="Arial" w:eastAsia="Times New Roman" w:hAnsi="Arial" w:cs="Arial"/>
              </w:rPr>
              <w:t>cell size of 10 and n-size of 30</w:t>
            </w:r>
            <w:r w:rsidRPr="00D3252E">
              <w:rPr>
                <w:rFonts w:ascii="Arial" w:eastAsia="Times New Roman" w:hAnsi="Arial" w:cs="Arial"/>
              </w:rPr>
              <w:t>.</w:t>
            </w:r>
          </w:p>
          <w:p w14:paraId="57DE30D5" w14:textId="77777777" w:rsidR="00BA6573" w:rsidRPr="00D3252E" w:rsidRDefault="00BA6573" w:rsidP="00BA6573">
            <w:pPr>
              <w:numPr>
                <w:ilvl w:val="0"/>
                <w:numId w:val="4"/>
              </w:numPr>
              <w:spacing w:after="0" w:line="240" w:lineRule="auto"/>
              <w:rPr>
                <w:rFonts w:ascii="Arial" w:eastAsia="Times New Roman" w:hAnsi="Arial" w:cs="Arial"/>
              </w:rPr>
            </w:pPr>
            <w:r w:rsidRPr="00D3252E">
              <w:rPr>
                <w:rFonts w:ascii="Arial" w:eastAsia="Times New Roman" w:hAnsi="Arial" w:cs="Arial"/>
              </w:rPr>
              <w:t xml:space="preserve">Districts with significant discipline discrepancies complete a self-review of their policies, procedures and practices relating to the development and implementation of IEPs, the use of positive behavioral interventions and supports, and procedural safeguards. Using the results of this self-review and corresponding student records, the </w:t>
            </w:r>
            <w:r>
              <w:rPr>
                <w:rFonts w:ascii="Arial" w:eastAsia="Times New Roman" w:hAnsi="Arial" w:cs="Arial"/>
              </w:rPr>
              <w:t>D</w:t>
            </w:r>
            <w:r w:rsidRPr="00D3252E">
              <w:rPr>
                <w:rFonts w:ascii="Arial" w:eastAsia="Times New Roman" w:hAnsi="Arial" w:cs="Arial"/>
              </w:rPr>
              <w:t>epartment determines if the district has policies, procedures or practices that do not comply with IDEA discipline requirements.</w:t>
            </w:r>
          </w:p>
        </w:tc>
      </w:tr>
      <w:tr w:rsidR="00BA6573" w:rsidRPr="00D3252E" w14:paraId="593FFB91" w14:textId="77777777" w:rsidTr="00BA6573">
        <w:trPr>
          <w:tblHeader/>
          <w:tblCellSpacing w:w="15" w:type="dxa"/>
        </w:trPr>
        <w:tc>
          <w:tcPr>
            <w:tcW w:w="843" w:type="pct"/>
            <w:shd w:val="clear" w:color="auto" w:fill="auto"/>
            <w:tcMar>
              <w:top w:w="150" w:type="dxa"/>
              <w:left w:w="270" w:type="dxa"/>
              <w:bottom w:w="150" w:type="dxa"/>
              <w:right w:w="270" w:type="dxa"/>
            </w:tcMar>
            <w:vAlign w:val="bottom"/>
            <w:hideMark/>
          </w:tcPr>
          <w:p w14:paraId="02304F8F" w14:textId="77777777" w:rsidR="00BA6573" w:rsidRPr="00D3252E" w:rsidRDefault="00BA6573" w:rsidP="00BA6573">
            <w:pPr>
              <w:spacing w:after="0" w:line="240" w:lineRule="auto"/>
              <w:rPr>
                <w:rFonts w:ascii="Arial" w:eastAsia="Times New Roman" w:hAnsi="Arial" w:cs="Arial"/>
                <w:b/>
                <w:bCs/>
              </w:rPr>
            </w:pPr>
            <w:r w:rsidRPr="00D3252E">
              <w:rPr>
                <w:rFonts w:ascii="Arial" w:eastAsia="Times New Roman" w:hAnsi="Arial" w:cs="Arial"/>
                <w:b/>
                <w:bCs/>
              </w:rPr>
              <w:t xml:space="preserve">Indicator </w:t>
            </w:r>
            <w:proofErr w:type="spellStart"/>
            <w:r w:rsidRPr="00D3252E">
              <w:rPr>
                <w:rFonts w:ascii="Arial" w:eastAsia="Times New Roman" w:hAnsi="Arial" w:cs="Arial"/>
                <w:b/>
                <w:bCs/>
              </w:rPr>
              <w:t>4b</w:t>
            </w:r>
            <w:proofErr w:type="spellEnd"/>
            <w:r w:rsidRPr="00D3252E">
              <w:rPr>
                <w:rFonts w:ascii="Arial" w:eastAsia="Times New Roman" w:hAnsi="Arial" w:cs="Arial"/>
                <w:b/>
                <w:bCs/>
              </w:rPr>
              <w:t xml:space="preserve"> Points</w:t>
            </w:r>
          </w:p>
        </w:tc>
        <w:tc>
          <w:tcPr>
            <w:tcW w:w="4109" w:type="pct"/>
            <w:shd w:val="clear" w:color="auto" w:fill="auto"/>
            <w:tcMar>
              <w:top w:w="150" w:type="dxa"/>
              <w:left w:w="270" w:type="dxa"/>
              <w:bottom w:w="150" w:type="dxa"/>
              <w:right w:w="270" w:type="dxa"/>
            </w:tcMar>
            <w:vAlign w:val="center"/>
            <w:hideMark/>
          </w:tcPr>
          <w:p w14:paraId="1268CAFD" w14:textId="77777777" w:rsidR="00BA6573" w:rsidRPr="00D3252E" w:rsidRDefault="00BA6573" w:rsidP="00BA6573">
            <w:pPr>
              <w:spacing w:after="0" w:line="240" w:lineRule="auto"/>
              <w:rPr>
                <w:rFonts w:ascii="Arial" w:eastAsia="Times New Roman" w:hAnsi="Arial" w:cs="Arial"/>
                <w:b/>
                <w:bCs/>
              </w:rPr>
            </w:pPr>
            <w:r w:rsidRPr="00D3252E">
              <w:rPr>
                <w:rFonts w:ascii="Arial" w:eastAsia="Times New Roman" w:hAnsi="Arial" w:cs="Arial"/>
                <w:b/>
                <w:bCs/>
              </w:rPr>
              <w:t>Criteria</w:t>
            </w:r>
          </w:p>
        </w:tc>
      </w:tr>
      <w:tr w:rsidR="00BA6573" w:rsidRPr="00D3252E" w14:paraId="4CC892A0" w14:textId="77777777" w:rsidTr="00BA6573">
        <w:trPr>
          <w:tblCellSpacing w:w="15" w:type="dxa"/>
        </w:trPr>
        <w:tc>
          <w:tcPr>
            <w:tcW w:w="843" w:type="pct"/>
            <w:shd w:val="clear" w:color="auto" w:fill="F8F5F0"/>
            <w:tcMar>
              <w:top w:w="120" w:type="dxa"/>
              <w:left w:w="150" w:type="dxa"/>
              <w:bottom w:w="120" w:type="dxa"/>
              <w:right w:w="150" w:type="dxa"/>
            </w:tcMar>
            <w:vAlign w:val="center"/>
            <w:hideMark/>
          </w:tcPr>
          <w:p w14:paraId="06A2C83D" w14:textId="77777777" w:rsidR="00BA6573" w:rsidRPr="00D3252E" w:rsidRDefault="00BA6573" w:rsidP="00BA6573">
            <w:pPr>
              <w:spacing w:after="0" w:line="240" w:lineRule="auto"/>
              <w:jc w:val="center"/>
              <w:rPr>
                <w:rFonts w:ascii="Arial" w:eastAsia="Times New Roman" w:hAnsi="Arial" w:cs="Arial"/>
              </w:rPr>
            </w:pPr>
            <w:r w:rsidRPr="00D3252E">
              <w:rPr>
                <w:rFonts w:ascii="Arial" w:eastAsia="Times New Roman" w:hAnsi="Arial" w:cs="Arial"/>
              </w:rPr>
              <w:t>4</w:t>
            </w:r>
          </w:p>
        </w:tc>
        <w:tc>
          <w:tcPr>
            <w:tcW w:w="4109" w:type="pct"/>
            <w:shd w:val="clear" w:color="auto" w:fill="F8F5F0"/>
            <w:tcMar>
              <w:top w:w="120" w:type="dxa"/>
              <w:left w:w="150" w:type="dxa"/>
              <w:bottom w:w="120" w:type="dxa"/>
              <w:right w:w="150" w:type="dxa"/>
            </w:tcMar>
            <w:hideMark/>
          </w:tcPr>
          <w:p w14:paraId="2DE8887B" w14:textId="77777777" w:rsidR="00BA6573" w:rsidRPr="00D3252E" w:rsidRDefault="00BA6573" w:rsidP="00BA6573">
            <w:pPr>
              <w:spacing w:after="0" w:line="240" w:lineRule="auto"/>
              <w:rPr>
                <w:rFonts w:ascii="Arial" w:eastAsia="Times New Roman" w:hAnsi="Arial" w:cs="Arial"/>
              </w:rPr>
            </w:pPr>
            <w:r w:rsidRPr="00D3252E">
              <w:rPr>
                <w:rFonts w:ascii="Arial" w:eastAsia="Times New Roman" w:hAnsi="Arial" w:cs="Arial"/>
              </w:rPr>
              <w:t>District does not have a significant discrepancy, by race or ethnicity, in the rate of suspensions and expulsions of greater than 10 days in a school year for children with IEPs </w:t>
            </w:r>
            <w:r w:rsidRPr="00D3252E">
              <w:rPr>
                <w:rFonts w:ascii="Arial" w:eastAsia="Times New Roman" w:hAnsi="Arial" w:cs="Arial"/>
                <w:i/>
                <w:iCs/>
              </w:rPr>
              <w:t>and</w:t>
            </w:r>
            <w:r w:rsidRPr="00D3252E">
              <w:rPr>
                <w:rFonts w:ascii="Arial" w:eastAsia="Times New Roman" w:hAnsi="Arial" w:cs="Arial"/>
              </w:rPr>
              <w:t> policies, procedures or practices that contribute to the significant discrepancy.</w:t>
            </w:r>
          </w:p>
        </w:tc>
      </w:tr>
      <w:tr w:rsidR="00BA6573" w:rsidRPr="00D3252E" w14:paraId="42825D50" w14:textId="77777777" w:rsidTr="00BA6573">
        <w:trPr>
          <w:tblCellSpacing w:w="15" w:type="dxa"/>
        </w:trPr>
        <w:tc>
          <w:tcPr>
            <w:tcW w:w="843" w:type="pct"/>
            <w:shd w:val="clear" w:color="auto" w:fill="FFFFFF"/>
            <w:tcMar>
              <w:top w:w="120" w:type="dxa"/>
              <w:left w:w="150" w:type="dxa"/>
              <w:bottom w:w="120" w:type="dxa"/>
              <w:right w:w="150" w:type="dxa"/>
            </w:tcMar>
            <w:vAlign w:val="center"/>
            <w:hideMark/>
          </w:tcPr>
          <w:p w14:paraId="45ADE9F4" w14:textId="77777777" w:rsidR="00BA6573" w:rsidRPr="00D3252E" w:rsidRDefault="00BA6573" w:rsidP="00BA6573">
            <w:pPr>
              <w:spacing w:after="0" w:line="240" w:lineRule="auto"/>
              <w:jc w:val="center"/>
              <w:rPr>
                <w:rFonts w:ascii="Arial" w:eastAsia="Times New Roman" w:hAnsi="Arial" w:cs="Arial"/>
              </w:rPr>
            </w:pPr>
            <w:r w:rsidRPr="00D3252E">
              <w:rPr>
                <w:rFonts w:ascii="Arial" w:eastAsia="Times New Roman" w:hAnsi="Arial" w:cs="Arial"/>
              </w:rPr>
              <w:t>1</w:t>
            </w:r>
          </w:p>
        </w:tc>
        <w:tc>
          <w:tcPr>
            <w:tcW w:w="4109" w:type="pct"/>
            <w:shd w:val="clear" w:color="auto" w:fill="FFFFFF"/>
            <w:tcMar>
              <w:top w:w="120" w:type="dxa"/>
              <w:left w:w="150" w:type="dxa"/>
              <w:bottom w:w="120" w:type="dxa"/>
              <w:right w:w="150" w:type="dxa"/>
            </w:tcMar>
            <w:hideMark/>
          </w:tcPr>
          <w:p w14:paraId="3BF509B6" w14:textId="77777777" w:rsidR="00BA6573" w:rsidRPr="00D3252E" w:rsidRDefault="00BA6573" w:rsidP="00BA6573">
            <w:pPr>
              <w:spacing w:after="0" w:line="240" w:lineRule="auto"/>
              <w:rPr>
                <w:rFonts w:ascii="Arial" w:eastAsia="Times New Roman" w:hAnsi="Arial" w:cs="Arial"/>
              </w:rPr>
            </w:pPr>
            <w:r w:rsidRPr="00D3252E">
              <w:rPr>
                <w:rFonts w:ascii="Arial" w:eastAsia="Times New Roman" w:hAnsi="Arial" w:cs="Arial"/>
              </w:rPr>
              <w:t>District has a significant discrepancy, by race or ethnicity, in the rate of suspensions and expulsions of greater than 10 days in a school year for children with IEPs </w:t>
            </w:r>
            <w:r w:rsidRPr="00D3252E">
              <w:rPr>
                <w:rFonts w:ascii="Arial" w:eastAsia="Times New Roman" w:hAnsi="Arial" w:cs="Arial"/>
                <w:i/>
                <w:iCs/>
              </w:rPr>
              <w:t>and</w:t>
            </w:r>
            <w:r w:rsidRPr="00D3252E">
              <w:rPr>
                <w:rFonts w:ascii="Arial" w:eastAsia="Times New Roman" w:hAnsi="Arial" w:cs="Arial"/>
              </w:rPr>
              <w:t> policies, procedures or practices that contribute to the significant discrepancy.</w:t>
            </w:r>
          </w:p>
        </w:tc>
      </w:tr>
      <w:tr w:rsidR="00BA6573" w:rsidRPr="00D3252E" w14:paraId="631FA7B4" w14:textId="77777777" w:rsidTr="00BA6573">
        <w:trPr>
          <w:tblCellSpacing w:w="15" w:type="dxa"/>
        </w:trPr>
        <w:tc>
          <w:tcPr>
            <w:tcW w:w="843" w:type="pct"/>
            <w:shd w:val="clear" w:color="auto" w:fill="F8F5F0"/>
            <w:tcMar>
              <w:top w:w="120" w:type="dxa"/>
              <w:left w:w="150" w:type="dxa"/>
              <w:bottom w:w="120" w:type="dxa"/>
              <w:right w:w="150" w:type="dxa"/>
            </w:tcMar>
            <w:vAlign w:val="center"/>
            <w:hideMark/>
          </w:tcPr>
          <w:p w14:paraId="1E42A9DF" w14:textId="77777777" w:rsidR="00BA6573" w:rsidRPr="00D3252E" w:rsidRDefault="00BA6573" w:rsidP="00BA6573">
            <w:pPr>
              <w:spacing w:after="0" w:line="240" w:lineRule="auto"/>
              <w:jc w:val="center"/>
              <w:rPr>
                <w:rFonts w:ascii="Arial" w:eastAsia="Times New Roman" w:hAnsi="Arial" w:cs="Arial"/>
              </w:rPr>
            </w:pPr>
            <w:r w:rsidRPr="00D3252E">
              <w:rPr>
                <w:rFonts w:ascii="Arial" w:eastAsia="Times New Roman" w:hAnsi="Arial" w:cs="Arial"/>
              </w:rPr>
              <w:t>NR</w:t>
            </w:r>
          </w:p>
        </w:tc>
        <w:tc>
          <w:tcPr>
            <w:tcW w:w="4109" w:type="pct"/>
            <w:shd w:val="clear" w:color="auto" w:fill="F8F5F0"/>
            <w:tcMar>
              <w:top w:w="120" w:type="dxa"/>
              <w:left w:w="150" w:type="dxa"/>
              <w:bottom w:w="120" w:type="dxa"/>
              <w:right w:w="150" w:type="dxa"/>
            </w:tcMar>
            <w:hideMark/>
          </w:tcPr>
          <w:p w14:paraId="7E7B8163" w14:textId="4A1C926C" w:rsidR="00BA6573" w:rsidRPr="00D3252E" w:rsidRDefault="00BA6573" w:rsidP="00BA6573">
            <w:pPr>
              <w:spacing w:after="0" w:line="240" w:lineRule="auto"/>
              <w:rPr>
                <w:rFonts w:ascii="Arial" w:eastAsia="Times New Roman" w:hAnsi="Arial" w:cs="Arial"/>
              </w:rPr>
            </w:pPr>
            <w:r w:rsidRPr="0032033E">
              <w:rPr>
                <w:rFonts w:ascii="Arial" w:eastAsia="Times New Roman" w:hAnsi="Arial" w:cs="Arial"/>
              </w:rPr>
              <w:t xml:space="preserve">District does not meet the minimum </w:t>
            </w:r>
            <w:r>
              <w:rPr>
                <w:rFonts w:ascii="Arial" w:eastAsia="Times New Roman" w:hAnsi="Arial" w:cs="Arial"/>
              </w:rPr>
              <w:t xml:space="preserve">cell size of 10 or n-size of </w:t>
            </w:r>
            <w:r w:rsidRPr="0032033E">
              <w:rPr>
                <w:rFonts w:ascii="Arial" w:eastAsia="Times New Roman" w:hAnsi="Arial" w:cs="Arial"/>
              </w:rPr>
              <w:t>30.</w:t>
            </w:r>
          </w:p>
        </w:tc>
      </w:tr>
    </w:tbl>
    <w:p w14:paraId="13636C74" w14:textId="77777777" w:rsidR="00BA6573" w:rsidRDefault="00BA6573" w:rsidP="007A0A70">
      <w:pPr>
        <w:spacing w:before="120" w:after="120" w:line="240" w:lineRule="auto"/>
        <w:rPr>
          <w:rFonts w:ascii="Arial" w:eastAsia="Times New Roman" w:hAnsi="Arial" w:cs="Arial"/>
          <w:b/>
          <w:bCs/>
        </w:rPr>
      </w:pPr>
    </w:p>
    <w:p w14:paraId="233D8691" w14:textId="77777777" w:rsidR="00BA6573" w:rsidRDefault="00BA6573">
      <w:pPr>
        <w:rPr>
          <w:rFonts w:ascii="Arial" w:eastAsia="Times New Roman" w:hAnsi="Arial" w:cs="Arial"/>
          <w:b/>
          <w:bCs/>
        </w:rPr>
      </w:pPr>
      <w:r>
        <w:rPr>
          <w:rFonts w:ascii="Arial" w:eastAsia="Times New Roman" w:hAnsi="Arial" w:cs="Arial"/>
          <w:b/>
          <w:bCs/>
        </w:rPr>
        <w:br w:type="page"/>
      </w:r>
    </w:p>
    <w:p w14:paraId="122A586C" w14:textId="68446758" w:rsidR="00BE764A" w:rsidRPr="00BE764A" w:rsidRDefault="00E84143" w:rsidP="007A0A70">
      <w:pPr>
        <w:spacing w:before="120" w:after="120" w:line="240" w:lineRule="auto"/>
        <w:rPr>
          <w:rFonts w:ascii="Arial" w:eastAsia="Times New Roman" w:hAnsi="Arial" w:cs="Arial"/>
        </w:rPr>
      </w:pPr>
      <w:r>
        <w:rPr>
          <w:rFonts w:ascii="Arial" w:eastAsia="Times New Roman" w:hAnsi="Arial" w:cs="Arial"/>
          <w:b/>
          <w:bCs/>
        </w:rPr>
        <w:lastRenderedPageBreak/>
        <w:t>Disproportionality – Identification</w:t>
      </w:r>
      <w:r w:rsidR="00BE764A" w:rsidRPr="00F7519E">
        <w:rPr>
          <w:rFonts w:ascii="Arial" w:eastAsia="Times New Roman" w:hAnsi="Arial" w:cs="Arial"/>
          <w:b/>
          <w:bCs/>
        </w:rPr>
        <w:t>:</w:t>
      </w:r>
      <w:r w:rsidR="00BE764A" w:rsidRPr="00F7519E">
        <w:rPr>
          <w:rFonts w:ascii="Arial" w:eastAsia="Times New Roman" w:hAnsi="Arial" w:cs="Arial"/>
        </w:rPr>
        <w:t> </w:t>
      </w:r>
      <w:r w:rsidR="00BE764A" w:rsidRPr="00BE764A">
        <w:rPr>
          <w:rFonts w:ascii="Arial" w:eastAsia="Times New Roman" w:hAnsi="Arial" w:cs="Arial"/>
        </w:rPr>
        <w:t>Disproportionality - All Categories</w:t>
      </w:r>
      <w:r>
        <w:rPr>
          <w:rFonts w:ascii="Arial" w:eastAsia="Times New Roman" w:hAnsi="Arial" w:cs="Arial"/>
        </w:rPr>
        <w:t xml:space="preserve"> and </w:t>
      </w:r>
      <w:r w:rsidRPr="00F7519E">
        <w:rPr>
          <w:rFonts w:ascii="Arial" w:eastAsia="Times New Roman" w:hAnsi="Arial" w:cs="Arial"/>
        </w:rPr>
        <w:t>Specific Disability Categories</w:t>
      </w:r>
      <w:r>
        <w:rPr>
          <w:rFonts w:ascii="Arial" w:eastAsia="Times New Roman" w:hAnsi="Arial" w:cs="Arial"/>
        </w:rPr>
        <w:t xml:space="preserve"> (Indicators 9 &amp; 10)</w:t>
      </w:r>
    </w:p>
    <w:p w14:paraId="7D8EEE0A" w14:textId="44B685C5" w:rsidR="00BE764A" w:rsidRPr="00BE764A" w:rsidRDefault="00BE764A" w:rsidP="007A0A70">
      <w:pPr>
        <w:shd w:val="clear" w:color="auto" w:fill="FFFFFF"/>
        <w:spacing w:before="120" w:after="120" w:line="240" w:lineRule="auto"/>
        <w:rPr>
          <w:rFonts w:ascii="Arial" w:eastAsia="Times New Roman" w:hAnsi="Arial" w:cs="Arial"/>
        </w:rPr>
      </w:pPr>
      <w:r w:rsidRPr="00BE764A">
        <w:rPr>
          <w:rFonts w:ascii="Arial" w:eastAsia="Times New Roman" w:hAnsi="Arial" w:cs="Arial"/>
        </w:rPr>
        <w:t xml:space="preserve">Target: </w:t>
      </w:r>
      <w:r w:rsidR="007B28DA">
        <w:rPr>
          <w:rFonts w:ascii="Arial" w:eastAsia="Times New Roman" w:hAnsi="Arial" w:cs="Arial"/>
        </w:rPr>
        <w:t>Risk ratio l</w:t>
      </w:r>
      <w:r w:rsidR="007B28DA" w:rsidRPr="00D3252E">
        <w:rPr>
          <w:rFonts w:ascii="Arial" w:eastAsia="Times New Roman" w:hAnsi="Arial" w:cs="Arial"/>
        </w:rPr>
        <w:t>ess than</w:t>
      </w:r>
      <w:r w:rsidR="007B28DA">
        <w:rPr>
          <w:rFonts w:ascii="Arial" w:eastAsia="Times New Roman" w:hAnsi="Arial" w:cs="Arial"/>
        </w:rPr>
        <w:t xml:space="preserve"> or equal to</w:t>
      </w:r>
      <w:r w:rsidR="007B28DA" w:rsidRPr="00D3252E">
        <w:rPr>
          <w:rFonts w:ascii="Arial" w:eastAsia="Times New Roman" w:hAnsi="Arial" w:cs="Arial"/>
        </w:rPr>
        <w:t xml:space="preserve"> </w:t>
      </w:r>
      <w:r w:rsidR="004D3120">
        <w:rPr>
          <w:rFonts w:ascii="Arial" w:eastAsia="Times New Roman" w:hAnsi="Arial" w:cs="Arial"/>
        </w:rPr>
        <w:t>2</w:t>
      </w:r>
      <w:r w:rsidR="007B28DA" w:rsidRPr="00D3252E">
        <w:rPr>
          <w:rFonts w:ascii="Arial" w:eastAsia="Times New Roman" w:hAnsi="Arial" w:cs="Arial"/>
        </w:rPr>
        <w:t>.5</w:t>
      </w:r>
      <w:r w:rsidR="007B28DA">
        <w:rPr>
          <w:rFonts w:ascii="Arial" w:eastAsia="Times New Roman" w:hAnsi="Arial" w:cs="Arial"/>
        </w:rPr>
        <w:t>0</w:t>
      </w:r>
    </w:p>
    <w:tbl>
      <w:tblPr>
        <w:tblW w:w="5000" w:type="pct"/>
        <w:tblCellSpacing w:w="15"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CellMar>
          <w:top w:w="15" w:type="dxa"/>
          <w:left w:w="15" w:type="dxa"/>
          <w:bottom w:w="15" w:type="dxa"/>
          <w:right w:w="15" w:type="dxa"/>
        </w:tblCellMar>
        <w:tblLook w:val="04A0" w:firstRow="1" w:lastRow="0" w:firstColumn="1" w:lastColumn="0" w:noHBand="0" w:noVBand="1"/>
      </w:tblPr>
      <w:tblGrid>
        <w:gridCol w:w="2510"/>
        <w:gridCol w:w="6834"/>
      </w:tblGrid>
      <w:tr w:rsidR="0032033E" w:rsidRPr="0032033E" w14:paraId="03C0858C" w14:textId="77777777" w:rsidTr="0032033E">
        <w:trPr>
          <w:tblHeader/>
          <w:tblCellSpacing w:w="15" w:type="dxa"/>
        </w:trPr>
        <w:tc>
          <w:tcPr>
            <w:tcW w:w="4968" w:type="pct"/>
            <w:gridSpan w:val="2"/>
            <w:shd w:val="clear" w:color="auto" w:fill="auto"/>
            <w:tcMar>
              <w:top w:w="150" w:type="dxa"/>
              <w:left w:w="270" w:type="dxa"/>
              <w:bottom w:w="150" w:type="dxa"/>
              <w:right w:w="270" w:type="dxa"/>
            </w:tcMar>
            <w:vAlign w:val="bottom"/>
            <w:hideMark/>
          </w:tcPr>
          <w:p w14:paraId="41375B90" w14:textId="6588981E" w:rsidR="0032033E" w:rsidRPr="0032033E" w:rsidRDefault="0032033E" w:rsidP="007A0A70">
            <w:pPr>
              <w:spacing w:after="0" w:line="240" w:lineRule="auto"/>
              <w:rPr>
                <w:rFonts w:ascii="Arial" w:eastAsia="Times New Roman" w:hAnsi="Arial" w:cs="Arial"/>
                <w:b/>
                <w:bCs/>
              </w:rPr>
            </w:pPr>
            <w:r w:rsidRPr="0032033E">
              <w:rPr>
                <w:rFonts w:ascii="Arial" w:eastAsia="Times New Roman" w:hAnsi="Arial" w:cs="Arial"/>
                <w:b/>
                <w:bCs/>
              </w:rPr>
              <w:t>Disproportionate representation of racial and ethnic groups in</w:t>
            </w:r>
            <w:r w:rsidR="00050398">
              <w:rPr>
                <w:rFonts w:ascii="Arial" w:eastAsia="Times New Roman" w:hAnsi="Arial" w:cs="Arial"/>
                <w:b/>
                <w:bCs/>
              </w:rPr>
              <w:t>to</w:t>
            </w:r>
            <w:r w:rsidRPr="0032033E">
              <w:rPr>
                <w:rFonts w:ascii="Arial" w:eastAsia="Times New Roman" w:hAnsi="Arial" w:cs="Arial"/>
                <w:b/>
                <w:bCs/>
              </w:rPr>
              <w:t xml:space="preserve"> special education and related services </w:t>
            </w:r>
            <w:r w:rsidR="00AC7E41">
              <w:rPr>
                <w:rFonts w:ascii="Arial" w:eastAsia="Times New Roman" w:hAnsi="Arial" w:cs="Arial"/>
                <w:b/>
                <w:bCs/>
              </w:rPr>
              <w:t xml:space="preserve">(Indicator 9) and specific disability categories (Indicator 10) </w:t>
            </w:r>
            <w:r w:rsidRPr="0032033E">
              <w:rPr>
                <w:rFonts w:ascii="Arial" w:eastAsia="Times New Roman" w:hAnsi="Arial" w:cs="Arial"/>
                <w:b/>
                <w:bCs/>
              </w:rPr>
              <w:t>that is the result of inappropriate identification.</w:t>
            </w:r>
          </w:p>
        </w:tc>
      </w:tr>
      <w:tr w:rsidR="0032033E" w:rsidRPr="0032033E" w14:paraId="373E3C13" w14:textId="77777777" w:rsidTr="007A0A70">
        <w:trPr>
          <w:tblCellSpacing w:w="15" w:type="dxa"/>
        </w:trPr>
        <w:tc>
          <w:tcPr>
            <w:tcW w:w="1319" w:type="pct"/>
            <w:shd w:val="clear" w:color="auto" w:fill="FFFFFF"/>
            <w:tcMar>
              <w:top w:w="120" w:type="dxa"/>
              <w:left w:w="150" w:type="dxa"/>
              <w:bottom w:w="120" w:type="dxa"/>
              <w:right w:w="150" w:type="dxa"/>
            </w:tcMar>
            <w:hideMark/>
          </w:tcPr>
          <w:p w14:paraId="0BD0045C" w14:textId="77777777" w:rsidR="0032033E" w:rsidRPr="0032033E" w:rsidRDefault="0032033E" w:rsidP="007A0A70">
            <w:pPr>
              <w:spacing w:after="0" w:line="240" w:lineRule="auto"/>
              <w:rPr>
                <w:rFonts w:ascii="Arial" w:eastAsia="Times New Roman" w:hAnsi="Arial" w:cs="Arial"/>
              </w:rPr>
            </w:pPr>
            <w:r w:rsidRPr="0032033E">
              <w:rPr>
                <w:rFonts w:ascii="Arial" w:eastAsia="Times New Roman" w:hAnsi="Arial" w:cs="Arial"/>
                <w:b/>
                <w:bCs/>
              </w:rPr>
              <w:t>Data Source</w:t>
            </w:r>
          </w:p>
        </w:tc>
        <w:tc>
          <w:tcPr>
            <w:tcW w:w="3633" w:type="pct"/>
            <w:shd w:val="clear" w:color="auto" w:fill="FFFFFF"/>
            <w:tcMar>
              <w:top w:w="120" w:type="dxa"/>
              <w:left w:w="150" w:type="dxa"/>
              <w:bottom w:w="120" w:type="dxa"/>
              <w:right w:w="150" w:type="dxa"/>
            </w:tcMar>
            <w:hideMark/>
          </w:tcPr>
          <w:p w14:paraId="4643EF40" w14:textId="290E9EEF" w:rsidR="0032033E" w:rsidRPr="0032033E" w:rsidRDefault="0007305A" w:rsidP="007A0A70">
            <w:pPr>
              <w:spacing w:after="0" w:line="240" w:lineRule="auto"/>
              <w:rPr>
                <w:rFonts w:ascii="Arial" w:eastAsia="Times New Roman" w:hAnsi="Arial" w:cs="Arial"/>
              </w:rPr>
            </w:pPr>
            <w:r>
              <w:rPr>
                <w:rFonts w:ascii="Arial" w:eastAsia="Times New Roman" w:hAnsi="Arial" w:cs="Arial"/>
              </w:rPr>
              <w:t>Data collected in </w:t>
            </w:r>
            <w:r w:rsidR="008A6F8B">
              <w:rPr>
                <w:rFonts w:ascii="Arial" w:eastAsia="Times New Roman" w:hAnsi="Arial" w:cs="Arial"/>
              </w:rPr>
              <w:t xml:space="preserve">2017-2018, 208-2019, and </w:t>
            </w:r>
            <w:r w:rsidR="006C13E8">
              <w:rPr>
                <w:rFonts w:ascii="Arial" w:eastAsia="Times New Roman" w:hAnsi="Arial" w:cs="Arial"/>
              </w:rPr>
              <w:t>201</w:t>
            </w:r>
            <w:r w:rsidR="004D3120">
              <w:rPr>
                <w:rFonts w:ascii="Arial" w:eastAsia="Times New Roman" w:hAnsi="Arial" w:cs="Arial"/>
              </w:rPr>
              <w:t>9</w:t>
            </w:r>
            <w:r w:rsidR="006C13E8">
              <w:rPr>
                <w:rFonts w:ascii="Arial" w:eastAsia="Times New Roman" w:hAnsi="Arial" w:cs="Arial"/>
              </w:rPr>
              <w:t>-20</w:t>
            </w:r>
            <w:r w:rsidR="004D3120">
              <w:rPr>
                <w:rFonts w:ascii="Arial" w:eastAsia="Times New Roman" w:hAnsi="Arial" w:cs="Arial"/>
              </w:rPr>
              <w:t>20</w:t>
            </w:r>
            <w:r w:rsidR="0032033E" w:rsidRPr="0032033E">
              <w:rPr>
                <w:rFonts w:ascii="Arial" w:eastAsia="Times New Roman" w:hAnsi="Arial" w:cs="Arial"/>
              </w:rPr>
              <w:t> EMIS year-end enrollment files and calculated to identify districts with significant risk ratios.</w:t>
            </w:r>
          </w:p>
        </w:tc>
      </w:tr>
      <w:tr w:rsidR="0032033E" w:rsidRPr="0032033E" w14:paraId="17E5EB50" w14:textId="77777777" w:rsidTr="007A0A70">
        <w:trPr>
          <w:tblCellSpacing w:w="15" w:type="dxa"/>
        </w:trPr>
        <w:tc>
          <w:tcPr>
            <w:tcW w:w="1319" w:type="pct"/>
            <w:shd w:val="clear" w:color="auto" w:fill="FFFFFF"/>
            <w:tcMar>
              <w:top w:w="120" w:type="dxa"/>
              <w:left w:w="150" w:type="dxa"/>
              <w:bottom w:w="120" w:type="dxa"/>
              <w:right w:w="150" w:type="dxa"/>
            </w:tcMar>
            <w:hideMark/>
          </w:tcPr>
          <w:p w14:paraId="699365DD" w14:textId="77777777" w:rsidR="0032033E" w:rsidRPr="0032033E" w:rsidRDefault="0032033E" w:rsidP="007A0A70">
            <w:pPr>
              <w:spacing w:after="0" w:line="240" w:lineRule="auto"/>
              <w:rPr>
                <w:rFonts w:ascii="Arial" w:eastAsia="Times New Roman" w:hAnsi="Arial" w:cs="Arial"/>
              </w:rPr>
            </w:pPr>
            <w:r w:rsidRPr="0032033E">
              <w:rPr>
                <w:rFonts w:ascii="Arial" w:eastAsia="Times New Roman" w:hAnsi="Arial" w:cs="Arial"/>
                <w:b/>
                <w:bCs/>
              </w:rPr>
              <w:t>Notes</w:t>
            </w:r>
          </w:p>
        </w:tc>
        <w:tc>
          <w:tcPr>
            <w:tcW w:w="3633" w:type="pct"/>
            <w:shd w:val="clear" w:color="auto" w:fill="FFFFFF"/>
            <w:tcMar>
              <w:top w:w="120" w:type="dxa"/>
              <w:left w:w="150" w:type="dxa"/>
              <w:bottom w:w="120" w:type="dxa"/>
              <w:right w:w="150" w:type="dxa"/>
            </w:tcMar>
            <w:hideMark/>
          </w:tcPr>
          <w:p w14:paraId="56B7BBA1" w14:textId="2FFA1631" w:rsidR="0032033E" w:rsidRPr="0032033E" w:rsidRDefault="0032033E" w:rsidP="007A0A70">
            <w:pPr>
              <w:spacing w:after="0" w:line="240" w:lineRule="auto"/>
              <w:rPr>
                <w:rFonts w:ascii="Arial" w:eastAsia="Times New Roman" w:hAnsi="Arial" w:cs="Arial"/>
              </w:rPr>
            </w:pPr>
            <w:r w:rsidRPr="0032033E">
              <w:rPr>
                <w:rFonts w:ascii="Arial" w:eastAsia="Times New Roman" w:hAnsi="Arial" w:cs="Arial"/>
              </w:rPr>
              <w:t xml:space="preserve">The measurement for </w:t>
            </w:r>
            <w:r w:rsidR="00AC7E41">
              <w:rPr>
                <w:rFonts w:ascii="Arial" w:eastAsia="Times New Roman" w:hAnsi="Arial" w:cs="Arial"/>
              </w:rPr>
              <w:t>Disproportionality - Identification</w:t>
            </w:r>
            <w:r w:rsidRPr="0032033E">
              <w:rPr>
                <w:rFonts w:ascii="Arial" w:eastAsia="Times New Roman" w:hAnsi="Arial" w:cs="Arial"/>
              </w:rPr>
              <w:t xml:space="preserve"> requires two steps:</w:t>
            </w:r>
          </w:p>
          <w:p w14:paraId="61A6025A" w14:textId="215C6B9F" w:rsidR="0032033E" w:rsidRPr="0032033E" w:rsidRDefault="0032033E" w:rsidP="007A0A70">
            <w:pPr>
              <w:numPr>
                <w:ilvl w:val="0"/>
                <w:numId w:val="5"/>
              </w:numPr>
              <w:spacing w:after="0" w:line="240" w:lineRule="auto"/>
              <w:rPr>
                <w:rFonts w:ascii="Arial" w:eastAsia="Times New Roman" w:hAnsi="Arial" w:cs="Arial"/>
              </w:rPr>
            </w:pPr>
            <w:r w:rsidRPr="0032033E">
              <w:rPr>
                <w:rFonts w:ascii="Arial" w:eastAsia="Times New Roman" w:hAnsi="Arial" w:cs="Arial"/>
              </w:rPr>
              <w:t xml:space="preserve">The </w:t>
            </w:r>
            <w:r w:rsidR="009915C8">
              <w:rPr>
                <w:rFonts w:ascii="Arial" w:eastAsia="Times New Roman" w:hAnsi="Arial" w:cs="Arial"/>
              </w:rPr>
              <w:t>D</w:t>
            </w:r>
            <w:r w:rsidRPr="0032033E">
              <w:rPr>
                <w:rFonts w:ascii="Arial" w:eastAsia="Times New Roman" w:hAnsi="Arial" w:cs="Arial"/>
              </w:rPr>
              <w:t>epartment identifies disproportionate representation </w:t>
            </w:r>
            <w:r w:rsidR="002724DD">
              <w:rPr>
                <w:rFonts w:ascii="Arial" w:eastAsia="Times New Roman" w:hAnsi="Arial" w:cs="Arial"/>
              </w:rPr>
              <w:t xml:space="preserve">either </w:t>
            </w:r>
            <w:r w:rsidRPr="0032033E">
              <w:rPr>
                <w:rFonts w:ascii="Arial" w:eastAsia="Times New Roman" w:hAnsi="Arial" w:cs="Arial"/>
                <w:i/>
                <w:iCs/>
              </w:rPr>
              <w:t>across disability categories</w:t>
            </w:r>
            <w:r w:rsidRPr="0032033E">
              <w:rPr>
                <w:rFonts w:ascii="Arial" w:eastAsia="Times New Roman" w:hAnsi="Arial" w:cs="Arial"/>
              </w:rPr>
              <w:t> </w:t>
            </w:r>
            <w:r w:rsidR="00B91C57">
              <w:rPr>
                <w:rFonts w:ascii="Arial" w:eastAsia="Times New Roman" w:hAnsi="Arial" w:cs="Arial"/>
              </w:rPr>
              <w:t>or</w:t>
            </w:r>
            <w:r w:rsidR="00FB7CD4">
              <w:rPr>
                <w:rFonts w:ascii="Arial" w:eastAsia="Times New Roman" w:hAnsi="Arial" w:cs="Arial"/>
              </w:rPr>
              <w:t xml:space="preserve"> </w:t>
            </w:r>
            <w:r w:rsidR="003E0052" w:rsidRPr="00F7519E">
              <w:rPr>
                <w:rFonts w:ascii="Arial" w:eastAsia="Times New Roman" w:hAnsi="Arial" w:cs="Arial"/>
                <w:i/>
                <w:iCs/>
              </w:rPr>
              <w:t>in specific disability categories</w:t>
            </w:r>
            <w:r w:rsidR="003E0052" w:rsidRPr="0032033E">
              <w:rPr>
                <w:rFonts w:ascii="Arial" w:eastAsia="Times New Roman" w:hAnsi="Arial" w:cs="Arial"/>
              </w:rPr>
              <w:t xml:space="preserve"> </w:t>
            </w:r>
            <w:r w:rsidR="0009272A">
              <w:rPr>
                <w:rFonts w:ascii="Arial" w:eastAsia="Times New Roman" w:hAnsi="Arial" w:cs="Arial"/>
              </w:rPr>
              <w:t>with</w:t>
            </w:r>
            <w:r w:rsidRPr="0032033E">
              <w:rPr>
                <w:rFonts w:ascii="Arial" w:eastAsia="Times New Roman" w:hAnsi="Arial" w:cs="Arial"/>
              </w:rPr>
              <w:t xml:space="preserve">in districts with risk ratios </w:t>
            </w:r>
            <w:r w:rsidR="00E47407">
              <w:rPr>
                <w:rFonts w:ascii="Arial" w:eastAsia="Times New Roman" w:hAnsi="Arial" w:cs="Arial"/>
              </w:rPr>
              <w:t xml:space="preserve">greater than </w:t>
            </w:r>
            <w:r w:rsidR="004D3120">
              <w:rPr>
                <w:rFonts w:ascii="Arial" w:eastAsia="Times New Roman" w:hAnsi="Arial" w:cs="Arial"/>
              </w:rPr>
              <w:t>2</w:t>
            </w:r>
            <w:r w:rsidR="00E47407">
              <w:rPr>
                <w:rFonts w:ascii="Arial" w:eastAsia="Times New Roman" w:hAnsi="Arial" w:cs="Arial"/>
              </w:rPr>
              <w:t>.50</w:t>
            </w:r>
            <w:r w:rsidR="005603C5">
              <w:rPr>
                <w:rFonts w:ascii="Arial" w:eastAsia="Times New Roman" w:hAnsi="Arial" w:cs="Arial"/>
              </w:rPr>
              <w:t xml:space="preserve"> for three consecutive years</w:t>
            </w:r>
            <w:r w:rsidRPr="0032033E">
              <w:rPr>
                <w:rFonts w:ascii="Arial" w:eastAsia="Times New Roman" w:hAnsi="Arial" w:cs="Arial"/>
              </w:rPr>
              <w:t xml:space="preserve">, using a minimum </w:t>
            </w:r>
            <w:r w:rsidR="00E0015C">
              <w:rPr>
                <w:rFonts w:ascii="Arial" w:eastAsia="Times New Roman" w:hAnsi="Arial" w:cs="Arial"/>
              </w:rPr>
              <w:t>cell size of 10 and n-size of</w:t>
            </w:r>
            <w:r w:rsidR="009B5203">
              <w:rPr>
                <w:rFonts w:ascii="Arial" w:eastAsia="Times New Roman" w:hAnsi="Arial" w:cs="Arial"/>
              </w:rPr>
              <w:t xml:space="preserve"> 30</w:t>
            </w:r>
            <w:r w:rsidRPr="0032033E">
              <w:rPr>
                <w:rFonts w:ascii="Arial" w:eastAsia="Times New Roman" w:hAnsi="Arial" w:cs="Arial"/>
              </w:rPr>
              <w:t>.</w:t>
            </w:r>
          </w:p>
          <w:p w14:paraId="38B521FE" w14:textId="08B2DC9E" w:rsidR="0032033E" w:rsidRPr="0032033E" w:rsidRDefault="0032033E" w:rsidP="007A0A70">
            <w:pPr>
              <w:numPr>
                <w:ilvl w:val="0"/>
                <w:numId w:val="5"/>
              </w:numPr>
              <w:spacing w:after="0" w:line="240" w:lineRule="auto"/>
              <w:rPr>
                <w:rFonts w:ascii="Arial" w:eastAsia="Times New Roman" w:hAnsi="Arial" w:cs="Arial"/>
              </w:rPr>
            </w:pPr>
            <w:r w:rsidRPr="0032033E">
              <w:rPr>
                <w:rFonts w:ascii="Arial" w:eastAsia="Times New Roman" w:hAnsi="Arial" w:cs="Arial"/>
              </w:rPr>
              <w:t xml:space="preserve">Districts with disproportionate representation complete a self-review of their policies, procedures and practices relating to the identification of students with disabilities. Using the results of this self-review and corresponding student records, the </w:t>
            </w:r>
            <w:r w:rsidR="00E47407">
              <w:rPr>
                <w:rFonts w:ascii="Arial" w:eastAsia="Times New Roman" w:hAnsi="Arial" w:cs="Arial"/>
              </w:rPr>
              <w:t>D</w:t>
            </w:r>
            <w:r w:rsidRPr="0032033E">
              <w:rPr>
                <w:rFonts w:ascii="Arial" w:eastAsia="Times New Roman" w:hAnsi="Arial" w:cs="Arial"/>
              </w:rPr>
              <w:t>epartment determines if the disproportionate representation is a result of inappropriate identification.</w:t>
            </w:r>
          </w:p>
        </w:tc>
      </w:tr>
      <w:tr w:rsidR="0032033E" w:rsidRPr="0032033E" w14:paraId="4051C50A" w14:textId="77777777" w:rsidTr="005C3F83">
        <w:trPr>
          <w:tblHeader/>
          <w:tblCellSpacing w:w="15" w:type="dxa"/>
        </w:trPr>
        <w:tc>
          <w:tcPr>
            <w:tcW w:w="1319" w:type="pct"/>
            <w:shd w:val="clear" w:color="auto" w:fill="auto"/>
            <w:tcMar>
              <w:top w:w="150" w:type="dxa"/>
              <w:left w:w="270" w:type="dxa"/>
              <w:bottom w:w="150" w:type="dxa"/>
              <w:right w:w="270" w:type="dxa"/>
            </w:tcMar>
            <w:hideMark/>
          </w:tcPr>
          <w:p w14:paraId="50B7943B" w14:textId="388C4244" w:rsidR="00BA3172" w:rsidRDefault="00441924" w:rsidP="007A0A70">
            <w:pPr>
              <w:spacing w:after="0" w:line="240" w:lineRule="auto"/>
              <w:jc w:val="center"/>
              <w:rPr>
                <w:rFonts w:ascii="Arial" w:eastAsia="Times New Roman" w:hAnsi="Arial" w:cs="Arial"/>
                <w:b/>
                <w:bCs/>
              </w:rPr>
            </w:pPr>
            <w:r>
              <w:rPr>
                <w:rFonts w:ascii="Arial" w:eastAsia="Times New Roman" w:hAnsi="Arial" w:cs="Arial"/>
                <w:b/>
                <w:bCs/>
              </w:rPr>
              <w:t>Disproportionality</w:t>
            </w:r>
            <w:r w:rsidR="00BA3172">
              <w:rPr>
                <w:rFonts w:ascii="Arial" w:eastAsia="Times New Roman" w:hAnsi="Arial" w:cs="Arial"/>
                <w:b/>
                <w:bCs/>
              </w:rPr>
              <w:t xml:space="preserve"> -</w:t>
            </w:r>
            <w:r>
              <w:rPr>
                <w:rFonts w:ascii="Arial" w:eastAsia="Times New Roman" w:hAnsi="Arial" w:cs="Arial"/>
                <w:b/>
                <w:bCs/>
              </w:rPr>
              <w:t xml:space="preserve"> </w:t>
            </w:r>
            <w:r w:rsidR="00BA3172">
              <w:rPr>
                <w:rFonts w:ascii="Arial" w:eastAsia="Times New Roman" w:hAnsi="Arial" w:cs="Arial"/>
                <w:b/>
                <w:bCs/>
              </w:rPr>
              <w:t>Identification</w:t>
            </w:r>
          </w:p>
          <w:p w14:paraId="74019585" w14:textId="59EF69B8" w:rsidR="0032033E" w:rsidRPr="0032033E" w:rsidRDefault="0032033E" w:rsidP="007A0A70">
            <w:pPr>
              <w:spacing w:after="0" w:line="240" w:lineRule="auto"/>
              <w:jc w:val="center"/>
              <w:rPr>
                <w:rFonts w:ascii="Arial" w:eastAsia="Times New Roman" w:hAnsi="Arial" w:cs="Arial"/>
                <w:b/>
                <w:bCs/>
              </w:rPr>
            </w:pPr>
            <w:r w:rsidRPr="0032033E">
              <w:rPr>
                <w:rFonts w:ascii="Arial" w:eastAsia="Times New Roman" w:hAnsi="Arial" w:cs="Arial"/>
                <w:b/>
                <w:bCs/>
              </w:rPr>
              <w:t>Points</w:t>
            </w:r>
          </w:p>
        </w:tc>
        <w:tc>
          <w:tcPr>
            <w:tcW w:w="3633" w:type="pct"/>
            <w:shd w:val="clear" w:color="auto" w:fill="auto"/>
            <w:tcMar>
              <w:top w:w="150" w:type="dxa"/>
              <w:left w:w="270" w:type="dxa"/>
              <w:bottom w:w="150" w:type="dxa"/>
              <w:right w:w="270" w:type="dxa"/>
            </w:tcMar>
            <w:vAlign w:val="center"/>
            <w:hideMark/>
          </w:tcPr>
          <w:p w14:paraId="7BD1F285" w14:textId="77777777" w:rsidR="0032033E" w:rsidRPr="0032033E" w:rsidRDefault="0032033E" w:rsidP="007A0A70">
            <w:pPr>
              <w:spacing w:after="0" w:line="240" w:lineRule="auto"/>
              <w:rPr>
                <w:rFonts w:ascii="Arial" w:eastAsia="Times New Roman" w:hAnsi="Arial" w:cs="Arial"/>
                <w:b/>
                <w:bCs/>
              </w:rPr>
            </w:pPr>
            <w:r w:rsidRPr="0032033E">
              <w:rPr>
                <w:rFonts w:ascii="Arial" w:eastAsia="Times New Roman" w:hAnsi="Arial" w:cs="Arial"/>
                <w:b/>
                <w:bCs/>
              </w:rPr>
              <w:t>Criteria</w:t>
            </w:r>
          </w:p>
        </w:tc>
      </w:tr>
      <w:tr w:rsidR="0032033E" w:rsidRPr="0032033E" w14:paraId="4F52535E" w14:textId="77777777" w:rsidTr="007A0A70">
        <w:trPr>
          <w:tblCellSpacing w:w="15" w:type="dxa"/>
        </w:trPr>
        <w:tc>
          <w:tcPr>
            <w:tcW w:w="1319" w:type="pct"/>
            <w:shd w:val="clear" w:color="auto" w:fill="F8F5F0"/>
            <w:tcMar>
              <w:top w:w="120" w:type="dxa"/>
              <w:left w:w="150" w:type="dxa"/>
              <w:bottom w:w="120" w:type="dxa"/>
              <w:right w:w="150" w:type="dxa"/>
            </w:tcMar>
            <w:vAlign w:val="center"/>
            <w:hideMark/>
          </w:tcPr>
          <w:p w14:paraId="1C00D9B1" w14:textId="77777777" w:rsidR="0032033E" w:rsidRPr="0032033E" w:rsidRDefault="0032033E" w:rsidP="00BA6573">
            <w:pPr>
              <w:spacing w:after="0" w:line="240" w:lineRule="auto"/>
              <w:jc w:val="center"/>
              <w:rPr>
                <w:rFonts w:ascii="Arial" w:eastAsia="Times New Roman" w:hAnsi="Arial" w:cs="Arial"/>
              </w:rPr>
            </w:pPr>
            <w:r w:rsidRPr="0032033E">
              <w:rPr>
                <w:rFonts w:ascii="Arial" w:eastAsia="Times New Roman" w:hAnsi="Arial" w:cs="Arial"/>
              </w:rPr>
              <w:t>4</w:t>
            </w:r>
          </w:p>
        </w:tc>
        <w:tc>
          <w:tcPr>
            <w:tcW w:w="3633" w:type="pct"/>
            <w:shd w:val="clear" w:color="auto" w:fill="F8F5F0"/>
            <w:tcMar>
              <w:top w:w="120" w:type="dxa"/>
              <w:left w:w="150" w:type="dxa"/>
              <w:bottom w:w="120" w:type="dxa"/>
              <w:right w:w="150" w:type="dxa"/>
            </w:tcMar>
            <w:hideMark/>
          </w:tcPr>
          <w:p w14:paraId="67AC1299" w14:textId="60361E93" w:rsidR="0032033E" w:rsidRPr="0032033E" w:rsidRDefault="0032033E" w:rsidP="007A0A70">
            <w:pPr>
              <w:spacing w:after="0" w:line="240" w:lineRule="auto"/>
              <w:rPr>
                <w:rFonts w:ascii="Arial" w:eastAsia="Times New Roman" w:hAnsi="Arial" w:cs="Arial"/>
              </w:rPr>
            </w:pPr>
            <w:r w:rsidRPr="0032033E">
              <w:rPr>
                <w:rFonts w:ascii="Arial" w:eastAsia="Times New Roman" w:hAnsi="Arial" w:cs="Arial"/>
              </w:rPr>
              <w:t>District does not have disproportionate representation of racial and ethnic groups in special education and related services that is the result of inappropriate identification (</w:t>
            </w:r>
            <w:r w:rsidR="009C0CAF">
              <w:rPr>
                <w:rFonts w:ascii="Arial" w:eastAsia="Times New Roman" w:hAnsi="Arial" w:cs="Arial"/>
              </w:rPr>
              <w:t xml:space="preserve">either </w:t>
            </w:r>
            <w:r w:rsidRPr="0032033E">
              <w:rPr>
                <w:rFonts w:ascii="Arial" w:eastAsia="Times New Roman" w:hAnsi="Arial" w:cs="Arial"/>
              </w:rPr>
              <w:t>across disability categories</w:t>
            </w:r>
            <w:r w:rsidR="0075210B">
              <w:rPr>
                <w:rFonts w:ascii="Arial" w:eastAsia="Times New Roman" w:hAnsi="Arial" w:cs="Arial"/>
              </w:rPr>
              <w:t xml:space="preserve"> </w:t>
            </w:r>
            <w:r w:rsidR="00441924">
              <w:rPr>
                <w:rFonts w:ascii="Arial" w:eastAsia="Times New Roman" w:hAnsi="Arial" w:cs="Arial"/>
              </w:rPr>
              <w:t xml:space="preserve">or </w:t>
            </w:r>
            <w:r w:rsidR="0075210B" w:rsidRPr="00F7519E">
              <w:rPr>
                <w:rFonts w:ascii="Arial" w:eastAsia="Times New Roman" w:hAnsi="Arial" w:cs="Arial"/>
              </w:rPr>
              <w:t>in specific disability categories</w:t>
            </w:r>
            <w:r w:rsidRPr="0032033E">
              <w:rPr>
                <w:rFonts w:ascii="Arial" w:eastAsia="Times New Roman" w:hAnsi="Arial" w:cs="Arial"/>
              </w:rPr>
              <w:t>).</w:t>
            </w:r>
          </w:p>
        </w:tc>
      </w:tr>
      <w:tr w:rsidR="0032033E" w:rsidRPr="0032033E" w14:paraId="342957FC" w14:textId="77777777" w:rsidTr="007A0A70">
        <w:trPr>
          <w:tblCellSpacing w:w="15" w:type="dxa"/>
        </w:trPr>
        <w:tc>
          <w:tcPr>
            <w:tcW w:w="1319" w:type="pct"/>
            <w:shd w:val="clear" w:color="auto" w:fill="FFFFFF"/>
            <w:tcMar>
              <w:top w:w="120" w:type="dxa"/>
              <w:left w:w="150" w:type="dxa"/>
              <w:bottom w:w="120" w:type="dxa"/>
              <w:right w:w="150" w:type="dxa"/>
            </w:tcMar>
            <w:vAlign w:val="center"/>
            <w:hideMark/>
          </w:tcPr>
          <w:p w14:paraId="24552A8C" w14:textId="77777777" w:rsidR="0032033E" w:rsidRPr="0032033E" w:rsidRDefault="0032033E" w:rsidP="00BA6573">
            <w:pPr>
              <w:spacing w:after="0" w:line="240" w:lineRule="auto"/>
              <w:jc w:val="center"/>
              <w:rPr>
                <w:rFonts w:ascii="Arial" w:eastAsia="Times New Roman" w:hAnsi="Arial" w:cs="Arial"/>
              </w:rPr>
            </w:pPr>
            <w:r w:rsidRPr="0032033E">
              <w:rPr>
                <w:rFonts w:ascii="Arial" w:eastAsia="Times New Roman" w:hAnsi="Arial" w:cs="Arial"/>
              </w:rPr>
              <w:t>1</w:t>
            </w:r>
          </w:p>
        </w:tc>
        <w:tc>
          <w:tcPr>
            <w:tcW w:w="3633" w:type="pct"/>
            <w:shd w:val="clear" w:color="auto" w:fill="FFFFFF"/>
            <w:tcMar>
              <w:top w:w="120" w:type="dxa"/>
              <w:left w:w="150" w:type="dxa"/>
              <w:bottom w:w="120" w:type="dxa"/>
              <w:right w:w="150" w:type="dxa"/>
            </w:tcMar>
            <w:hideMark/>
          </w:tcPr>
          <w:p w14:paraId="724DF7D3" w14:textId="7BEEE313" w:rsidR="0032033E" w:rsidRPr="0032033E" w:rsidRDefault="0032033E" w:rsidP="007A0A70">
            <w:pPr>
              <w:spacing w:after="0" w:line="240" w:lineRule="auto"/>
              <w:rPr>
                <w:rFonts w:ascii="Arial" w:eastAsia="Times New Roman" w:hAnsi="Arial" w:cs="Arial"/>
              </w:rPr>
            </w:pPr>
            <w:r w:rsidRPr="0032033E">
              <w:rPr>
                <w:rFonts w:ascii="Arial" w:eastAsia="Times New Roman" w:hAnsi="Arial" w:cs="Arial"/>
              </w:rPr>
              <w:t>District has disproportionate representation of racial and ethnic groups in special education and related services that is the result of inappropriate identification (</w:t>
            </w:r>
            <w:r w:rsidR="0075210B">
              <w:rPr>
                <w:rFonts w:ascii="Arial" w:eastAsia="Times New Roman" w:hAnsi="Arial" w:cs="Arial"/>
              </w:rPr>
              <w:t xml:space="preserve">either </w:t>
            </w:r>
            <w:r w:rsidRPr="0032033E">
              <w:rPr>
                <w:rFonts w:ascii="Arial" w:eastAsia="Times New Roman" w:hAnsi="Arial" w:cs="Arial"/>
              </w:rPr>
              <w:t>across disability categories</w:t>
            </w:r>
            <w:r w:rsidR="00441924">
              <w:rPr>
                <w:rFonts w:ascii="Arial" w:eastAsia="Times New Roman" w:hAnsi="Arial" w:cs="Arial"/>
              </w:rPr>
              <w:t xml:space="preserve"> or </w:t>
            </w:r>
            <w:r w:rsidR="00441924" w:rsidRPr="00F7519E">
              <w:rPr>
                <w:rFonts w:ascii="Arial" w:eastAsia="Times New Roman" w:hAnsi="Arial" w:cs="Arial"/>
              </w:rPr>
              <w:t>in specific disability categories</w:t>
            </w:r>
            <w:r w:rsidRPr="0032033E">
              <w:rPr>
                <w:rFonts w:ascii="Arial" w:eastAsia="Times New Roman" w:hAnsi="Arial" w:cs="Arial"/>
              </w:rPr>
              <w:t>).</w:t>
            </w:r>
          </w:p>
        </w:tc>
      </w:tr>
      <w:tr w:rsidR="0032033E" w:rsidRPr="0032033E" w14:paraId="06C91398" w14:textId="77777777" w:rsidTr="007A0A70">
        <w:trPr>
          <w:tblCellSpacing w:w="15" w:type="dxa"/>
        </w:trPr>
        <w:tc>
          <w:tcPr>
            <w:tcW w:w="1319" w:type="pct"/>
            <w:shd w:val="clear" w:color="auto" w:fill="F8F5F0"/>
            <w:tcMar>
              <w:top w:w="120" w:type="dxa"/>
              <w:left w:w="150" w:type="dxa"/>
              <w:bottom w:w="120" w:type="dxa"/>
              <w:right w:w="150" w:type="dxa"/>
            </w:tcMar>
            <w:vAlign w:val="center"/>
            <w:hideMark/>
          </w:tcPr>
          <w:p w14:paraId="31211B9D" w14:textId="77777777" w:rsidR="0032033E" w:rsidRPr="0032033E" w:rsidRDefault="0032033E" w:rsidP="00BA6573">
            <w:pPr>
              <w:spacing w:after="0" w:line="240" w:lineRule="auto"/>
              <w:jc w:val="center"/>
              <w:rPr>
                <w:rFonts w:ascii="Arial" w:eastAsia="Times New Roman" w:hAnsi="Arial" w:cs="Arial"/>
              </w:rPr>
            </w:pPr>
            <w:r w:rsidRPr="0032033E">
              <w:rPr>
                <w:rFonts w:ascii="Arial" w:eastAsia="Times New Roman" w:hAnsi="Arial" w:cs="Arial"/>
              </w:rPr>
              <w:t>NR</w:t>
            </w:r>
          </w:p>
        </w:tc>
        <w:tc>
          <w:tcPr>
            <w:tcW w:w="3633" w:type="pct"/>
            <w:shd w:val="clear" w:color="auto" w:fill="F8F5F0"/>
            <w:tcMar>
              <w:top w:w="120" w:type="dxa"/>
              <w:left w:w="150" w:type="dxa"/>
              <w:bottom w:w="120" w:type="dxa"/>
              <w:right w:w="150" w:type="dxa"/>
            </w:tcMar>
            <w:hideMark/>
          </w:tcPr>
          <w:p w14:paraId="5E2D314C" w14:textId="4535A2A5" w:rsidR="0032033E" w:rsidRPr="0032033E" w:rsidRDefault="0032033E" w:rsidP="007A0A70">
            <w:pPr>
              <w:spacing w:after="0" w:line="240" w:lineRule="auto"/>
              <w:rPr>
                <w:rFonts w:ascii="Arial" w:eastAsia="Times New Roman" w:hAnsi="Arial" w:cs="Arial"/>
              </w:rPr>
            </w:pPr>
            <w:r w:rsidRPr="0032033E">
              <w:rPr>
                <w:rFonts w:ascii="Arial" w:eastAsia="Times New Roman" w:hAnsi="Arial" w:cs="Arial"/>
              </w:rPr>
              <w:t xml:space="preserve">District does not meet the minimum </w:t>
            </w:r>
            <w:r w:rsidR="001300E6">
              <w:rPr>
                <w:rFonts w:ascii="Arial" w:eastAsia="Times New Roman" w:hAnsi="Arial" w:cs="Arial"/>
              </w:rPr>
              <w:t xml:space="preserve">cell size of 10 or n-size of </w:t>
            </w:r>
            <w:r w:rsidRPr="0032033E">
              <w:rPr>
                <w:rFonts w:ascii="Arial" w:eastAsia="Times New Roman" w:hAnsi="Arial" w:cs="Arial"/>
              </w:rPr>
              <w:t>30.</w:t>
            </w:r>
          </w:p>
        </w:tc>
      </w:tr>
    </w:tbl>
    <w:p w14:paraId="6B015FAB" w14:textId="77777777" w:rsidR="00BE764A" w:rsidRDefault="00BE764A" w:rsidP="007A0A70">
      <w:pPr>
        <w:spacing w:before="120" w:after="120" w:line="240" w:lineRule="auto"/>
        <w:rPr>
          <w:rFonts w:ascii="Arial" w:hAnsi="Arial" w:cs="Arial"/>
          <w:b/>
        </w:rPr>
      </w:pPr>
    </w:p>
    <w:p w14:paraId="2EC01ED4" w14:textId="77777777" w:rsidR="00C27EC2" w:rsidRDefault="00C27EC2" w:rsidP="007A0A70">
      <w:pPr>
        <w:shd w:val="clear" w:color="auto" w:fill="FFFFFF"/>
        <w:spacing w:before="120" w:after="120" w:line="240" w:lineRule="auto"/>
        <w:rPr>
          <w:rFonts w:ascii="Arial" w:eastAsia="Times New Roman" w:hAnsi="Arial" w:cs="Arial"/>
          <w:b/>
          <w:bCs/>
        </w:rPr>
      </w:pPr>
    </w:p>
    <w:p w14:paraId="3176615C" w14:textId="77777777" w:rsidR="003F5301" w:rsidRDefault="003F5301" w:rsidP="007A0A70">
      <w:pPr>
        <w:spacing w:before="120" w:after="120" w:line="240" w:lineRule="auto"/>
        <w:rPr>
          <w:rFonts w:ascii="Arial" w:eastAsia="Times New Roman" w:hAnsi="Arial" w:cs="Arial"/>
          <w:b/>
          <w:bCs/>
        </w:rPr>
      </w:pPr>
      <w:r>
        <w:rPr>
          <w:rFonts w:ascii="Arial" w:eastAsia="Times New Roman" w:hAnsi="Arial" w:cs="Arial"/>
          <w:b/>
          <w:bCs/>
        </w:rPr>
        <w:br w:type="page"/>
      </w:r>
    </w:p>
    <w:p w14:paraId="767EDBB4" w14:textId="1855DFC6" w:rsidR="00C70941" w:rsidRPr="00C70941" w:rsidRDefault="00C70941" w:rsidP="007A0A70">
      <w:pPr>
        <w:shd w:val="clear" w:color="auto" w:fill="FFFFFF"/>
        <w:spacing w:before="120" w:after="120" w:line="240" w:lineRule="auto"/>
        <w:rPr>
          <w:rFonts w:ascii="Arial" w:eastAsia="Times New Roman" w:hAnsi="Arial" w:cs="Arial"/>
        </w:rPr>
      </w:pPr>
      <w:r w:rsidRPr="00C70941">
        <w:rPr>
          <w:rFonts w:ascii="Arial" w:eastAsia="Times New Roman" w:hAnsi="Arial" w:cs="Arial"/>
          <w:b/>
          <w:bCs/>
        </w:rPr>
        <w:lastRenderedPageBreak/>
        <w:t>Indicator 11:</w:t>
      </w:r>
      <w:r w:rsidRPr="00C70941">
        <w:rPr>
          <w:rFonts w:ascii="Arial" w:eastAsia="Times New Roman" w:hAnsi="Arial" w:cs="Arial"/>
        </w:rPr>
        <w:t> Timely Initial Evaluations</w:t>
      </w:r>
    </w:p>
    <w:p w14:paraId="7BBF8DC3" w14:textId="77777777" w:rsidR="00C70941" w:rsidRPr="00C70941" w:rsidRDefault="00C70941" w:rsidP="007A0A70">
      <w:pPr>
        <w:shd w:val="clear" w:color="auto" w:fill="FFFFFF"/>
        <w:spacing w:before="120" w:after="120" w:line="240" w:lineRule="auto"/>
        <w:rPr>
          <w:rFonts w:ascii="Arial" w:eastAsia="Times New Roman" w:hAnsi="Arial" w:cs="Arial"/>
        </w:rPr>
      </w:pPr>
      <w:r w:rsidRPr="00C70941">
        <w:rPr>
          <w:rFonts w:ascii="Arial" w:eastAsia="Times New Roman" w:hAnsi="Arial" w:cs="Arial"/>
        </w:rPr>
        <w:t>Target: 100%</w:t>
      </w:r>
    </w:p>
    <w:tbl>
      <w:tblPr>
        <w:tblW w:w="5000" w:type="pct"/>
        <w:tblCellSpacing w:w="15"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CellMar>
          <w:top w:w="15" w:type="dxa"/>
          <w:left w:w="15" w:type="dxa"/>
          <w:bottom w:w="15" w:type="dxa"/>
          <w:right w:w="15" w:type="dxa"/>
        </w:tblCellMar>
        <w:tblLook w:val="04A0" w:firstRow="1" w:lastRow="0" w:firstColumn="1" w:lastColumn="0" w:noHBand="0" w:noVBand="1"/>
      </w:tblPr>
      <w:tblGrid>
        <w:gridCol w:w="1985"/>
        <w:gridCol w:w="7359"/>
      </w:tblGrid>
      <w:tr w:rsidR="00C70941" w:rsidRPr="00C70941" w14:paraId="52D9D7AB" w14:textId="77777777" w:rsidTr="00C70941">
        <w:trPr>
          <w:tblHeader/>
          <w:tblCellSpacing w:w="15" w:type="dxa"/>
        </w:trPr>
        <w:tc>
          <w:tcPr>
            <w:tcW w:w="4968" w:type="pct"/>
            <w:gridSpan w:val="2"/>
            <w:shd w:val="clear" w:color="auto" w:fill="auto"/>
            <w:tcMar>
              <w:top w:w="150" w:type="dxa"/>
              <w:left w:w="270" w:type="dxa"/>
              <w:bottom w:w="150" w:type="dxa"/>
              <w:right w:w="270" w:type="dxa"/>
            </w:tcMar>
            <w:vAlign w:val="bottom"/>
            <w:hideMark/>
          </w:tcPr>
          <w:p w14:paraId="032C3AD6" w14:textId="1C771514" w:rsidR="00C70941" w:rsidRPr="00C70941" w:rsidRDefault="00C70941" w:rsidP="007A0A70">
            <w:pPr>
              <w:spacing w:after="0" w:line="240" w:lineRule="auto"/>
              <w:rPr>
                <w:rFonts w:ascii="Arial" w:eastAsia="Times New Roman" w:hAnsi="Arial" w:cs="Arial"/>
                <w:b/>
                <w:bCs/>
              </w:rPr>
            </w:pPr>
            <w:r w:rsidRPr="00C70941">
              <w:rPr>
                <w:rFonts w:ascii="Arial" w:eastAsia="Times New Roman" w:hAnsi="Arial" w:cs="Arial"/>
                <w:b/>
                <w:bCs/>
              </w:rPr>
              <w:t>Indicator 11 – Percent</w:t>
            </w:r>
            <w:r w:rsidR="005E1909">
              <w:rPr>
                <w:rFonts w:ascii="Arial" w:eastAsia="Times New Roman" w:hAnsi="Arial" w:cs="Arial"/>
                <w:b/>
                <w:bCs/>
              </w:rPr>
              <w:t>age</w:t>
            </w:r>
            <w:r w:rsidRPr="00C70941">
              <w:rPr>
                <w:rFonts w:ascii="Arial" w:eastAsia="Times New Roman" w:hAnsi="Arial" w:cs="Arial"/>
                <w:b/>
                <w:bCs/>
              </w:rPr>
              <w:t xml:space="preserve"> of children who were evaluated within 60 calendar days of receiving parental consent for initial evaluation.</w:t>
            </w:r>
          </w:p>
        </w:tc>
      </w:tr>
      <w:tr w:rsidR="00C70941" w:rsidRPr="00C70941" w14:paraId="3EF68935" w14:textId="77777777" w:rsidTr="007A0A70">
        <w:trPr>
          <w:tblCellSpacing w:w="15" w:type="dxa"/>
        </w:trPr>
        <w:tc>
          <w:tcPr>
            <w:tcW w:w="1041" w:type="pct"/>
            <w:shd w:val="clear" w:color="auto" w:fill="FFFFFF"/>
            <w:tcMar>
              <w:top w:w="120" w:type="dxa"/>
              <w:left w:w="150" w:type="dxa"/>
              <w:bottom w:w="120" w:type="dxa"/>
              <w:right w:w="150" w:type="dxa"/>
            </w:tcMar>
            <w:hideMark/>
          </w:tcPr>
          <w:p w14:paraId="0A33903F" w14:textId="77777777"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b/>
                <w:bCs/>
              </w:rPr>
              <w:t>Data Source</w:t>
            </w:r>
          </w:p>
        </w:tc>
        <w:tc>
          <w:tcPr>
            <w:tcW w:w="3911" w:type="pct"/>
            <w:shd w:val="clear" w:color="auto" w:fill="FFFFFF"/>
            <w:tcMar>
              <w:top w:w="120" w:type="dxa"/>
              <w:left w:w="150" w:type="dxa"/>
              <w:bottom w:w="120" w:type="dxa"/>
              <w:right w:w="150" w:type="dxa"/>
            </w:tcMar>
            <w:vAlign w:val="center"/>
            <w:hideMark/>
          </w:tcPr>
          <w:p w14:paraId="77317230" w14:textId="1962037D" w:rsidR="00C70941" w:rsidRPr="00C70941" w:rsidRDefault="0007305A" w:rsidP="007A0A70">
            <w:pPr>
              <w:spacing w:after="0" w:line="240" w:lineRule="auto"/>
              <w:rPr>
                <w:rFonts w:ascii="Arial" w:eastAsia="Times New Roman" w:hAnsi="Arial" w:cs="Arial"/>
              </w:rPr>
            </w:pPr>
            <w:r>
              <w:rPr>
                <w:rFonts w:ascii="Arial" w:eastAsia="Times New Roman" w:hAnsi="Arial" w:cs="Arial"/>
              </w:rPr>
              <w:t>Data collected in </w:t>
            </w:r>
            <w:r w:rsidR="00C7294A">
              <w:rPr>
                <w:rFonts w:ascii="Arial" w:eastAsia="Times New Roman" w:hAnsi="Arial" w:cs="Arial"/>
              </w:rPr>
              <w:t>201</w:t>
            </w:r>
            <w:r w:rsidR="00261D45">
              <w:rPr>
                <w:rFonts w:ascii="Arial" w:eastAsia="Times New Roman" w:hAnsi="Arial" w:cs="Arial"/>
              </w:rPr>
              <w:t>9</w:t>
            </w:r>
            <w:r w:rsidR="00C7294A">
              <w:rPr>
                <w:rFonts w:ascii="Arial" w:eastAsia="Times New Roman" w:hAnsi="Arial" w:cs="Arial"/>
              </w:rPr>
              <w:t>-20</w:t>
            </w:r>
            <w:r w:rsidR="00261D45">
              <w:rPr>
                <w:rFonts w:ascii="Arial" w:eastAsia="Times New Roman" w:hAnsi="Arial" w:cs="Arial"/>
              </w:rPr>
              <w:t>20</w:t>
            </w:r>
            <w:r w:rsidR="00C70941" w:rsidRPr="00C70941">
              <w:rPr>
                <w:rFonts w:ascii="Arial" w:eastAsia="Times New Roman" w:hAnsi="Arial" w:cs="Arial"/>
              </w:rPr>
              <w:t> EMIS year-end Special Education Event Record.</w:t>
            </w:r>
          </w:p>
        </w:tc>
      </w:tr>
      <w:tr w:rsidR="00C70941" w:rsidRPr="00C70941" w14:paraId="75B3BDCF" w14:textId="77777777" w:rsidTr="007A0A70">
        <w:trPr>
          <w:tblCellSpacing w:w="15" w:type="dxa"/>
        </w:trPr>
        <w:tc>
          <w:tcPr>
            <w:tcW w:w="1041" w:type="pct"/>
            <w:shd w:val="clear" w:color="auto" w:fill="FFFFFF"/>
            <w:tcMar>
              <w:top w:w="120" w:type="dxa"/>
              <w:left w:w="150" w:type="dxa"/>
              <w:bottom w:w="120" w:type="dxa"/>
              <w:right w:w="150" w:type="dxa"/>
            </w:tcMar>
            <w:hideMark/>
          </w:tcPr>
          <w:p w14:paraId="12FA9424" w14:textId="77777777"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b/>
                <w:bCs/>
              </w:rPr>
              <w:t>Notes</w:t>
            </w:r>
          </w:p>
        </w:tc>
        <w:tc>
          <w:tcPr>
            <w:tcW w:w="3911" w:type="pct"/>
            <w:shd w:val="clear" w:color="auto" w:fill="FFFFFF"/>
            <w:tcMar>
              <w:top w:w="120" w:type="dxa"/>
              <w:left w:w="150" w:type="dxa"/>
              <w:bottom w:w="120" w:type="dxa"/>
              <w:right w:w="150" w:type="dxa"/>
            </w:tcMar>
            <w:hideMark/>
          </w:tcPr>
          <w:p w14:paraId="3211F368" w14:textId="3F04C21E"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rPr>
              <w:t>There is no minimum group size used; all districts with at leas</w:t>
            </w:r>
            <w:r w:rsidR="0007305A">
              <w:rPr>
                <w:rFonts w:ascii="Arial" w:eastAsia="Times New Roman" w:hAnsi="Arial" w:cs="Arial"/>
              </w:rPr>
              <w:t>t one initial evaluation in </w:t>
            </w:r>
            <w:r w:rsidR="00C7294A">
              <w:rPr>
                <w:rFonts w:ascii="Arial" w:eastAsia="Times New Roman" w:hAnsi="Arial" w:cs="Arial"/>
              </w:rPr>
              <w:t>201</w:t>
            </w:r>
            <w:r w:rsidR="00261D45">
              <w:rPr>
                <w:rFonts w:ascii="Arial" w:eastAsia="Times New Roman" w:hAnsi="Arial" w:cs="Arial"/>
              </w:rPr>
              <w:t>9</w:t>
            </w:r>
            <w:r w:rsidR="00C7294A">
              <w:rPr>
                <w:rFonts w:ascii="Arial" w:eastAsia="Times New Roman" w:hAnsi="Arial" w:cs="Arial"/>
              </w:rPr>
              <w:t>-20</w:t>
            </w:r>
            <w:r w:rsidR="00261D45">
              <w:rPr>
                <w:rFonts w:ascii="Arial" w:eastAsia="Times New Roman" w:hAnsi="Arial" w:cs="Arial"/>
              </w:rPr>
              <w:t>20</w:t>
            </w:r>
            <w:r w:rsidR="00FF1F4E">
              <w:rPr>
                <w:rFonts w:ascii="Arial" w:eastAsia="Times New Roman" w:hAnsi="Arial" w:cs="Arial"/>
              </w:rPr>
              <w:t xml:space="preserve"> </w:t>
            </w:r>
            <w:r w:rsidRPr="00C70941">
              <w:rPr>
                <w:rFonts w:ascii="Arial" w:eastAsia="Times New Roman" w:hAnsi="Arial" w:cs="Arial"/>
              </w:rPr>
              <w:t>receive a score for Indicator 11.</w:t>
            </w:r>
          </w:p>
        </w:tc>
      </w:tr>
      <w:tr w:rsidR="00C70941" w:rsidRPr="00C70941" w14:paraId="7ADC81A0" w14:textId="77777777" w:rsidTr="005C3F83">
        <w:trPr>
          <w:tblHeader/>
          <w:tblCellSpacing w:w="15" w:type="dxa"/>
        </w:trPr>
        <w:tc>
          <w:tcPr>
            <w:tcW w:w="1041" w:type="pct"/>
            <w:shd w:val="clear" w:color="auto" w:fill="auto"/>
            <w:tcMar>
              <w:top w:w="150" w:type="dxa"/>
              <w:left w:w="270" w:type="dxa"/>
              <w:bottom w:w="150" w:type="dxa"/>
              <w:right w:w="270" w:type="dxa"/>
            </w:tcMar>
            <w:hideMark/>
          </w:tcPr>
          <w:p w14:paraId="3F0CD7EA" w14:textId="77777777" w:rsidR="00C70941" w:rsidRPr="00C70941" w:rsidRDefault="00C70941" w:rsidP="007A0A70">
            <w:pPr>
              <w:spacing w:after="0" w:line="240" w:lineRule="auto"/>
              <w:jc w:val="center"/>
              <w:rPr>
                <w:rFonts w:ascii="Arial" w:eastAsia="Times New Roman" w:hAnsi="Arial" w:cs="Arial"/>
                <w:b/>
                <w:bCs/>
              </w:rPr>
            </w:pPr>
            <w:r w:rsidRPr="00C70941">
              <w:rPr>
                <w:rFonts w:ascii="Arial" w:eastAsia="Times New Roman" w:hAnsi="Arial" w:cs="Arial"/>
                <w:b/>
                <w:bCs/>
              </w:rPr>
              <w:t>Indicator 11 Points</w:t>
            </w:r>
          </w:p>
        </w:tc>
        <w:tc>
          <w:tcPr>
            <w:tcW w:w="3911" w:type="pct"/>
            <w:shd w:val="clear" w:color="auto" w:fill="auto"/>
            <w:tcMar>
              <w:top w:w="150" w:type="dxa"/>
              <w:left w:w="270" w:type="dxa"/>
              <w:bottom w:w="150" w:type="dxa"/>
              <w:right w:w="270" w:type="dxa"/>
            </w:tcMar>
            <w:vAlign w:val="center"/>
            <w:hideMark/>
          </w:tcPr>
          <w:p w14:paraId="6AC3F6B6" w14:textId="77777777" w:rsidR="00C70941" w:rsidRPr="00C70941" w:rsidRDefault="00C70941" w:rsidP="007A0A70">
            <w:pPr>
              <w:spacing w:after="0" w:line="240" w:lineRule="auto"/>
              <w:rPr>
                <w:rFonts w:ascii="Arial" w:eastAsia="Times New Roman" w:hAnsi="Arial" w:cs="Arial"/>
                <w:b/>
                <w:bCs/>
              </w:rPr>
            </w:pPr>
            <w:r w:rsidRPr="00C70941">
              <w:rPr>
                <w:rFonts w:ascii="Arial" w:eastAsia="Times New Roman" w:hAnsi="Arial" w:cs="Arial"/>
                <w:b/>
                <w:bCs/>
              </w:rPr>
              <w:t>Criteria</w:t>
            </w:r>
          </w:p>
        </w:tc>
      </w:tr>
      <w:tr w:rsidR="00C70941" w:rsidRPr="00C70941" w14:paraId="6D705344" w14:textId="77777777" w:rsidTr="007A0A70">
        <w:trPr>
          <w:tblCellSpacing w:w="15" w:type="dxa"/>
        </w:trPr>
        <w:tc>
          <w:tcPr>
            <w:tcW w:w="1041" w:type="pct"/>
            <w:shd w:val="clear" w:color="auto" w:fill="F8F5F0"/>
            <w:tcMar>
              <w:top w:w="120" w:type="dxa"/>
              <w:left w:w="150" w:type="dxa"/>
              <w:bottom w:w="120" w:type="dxa"/>
              <w:right w:w="150" w:type="dxa"/>
            </w:tcMar>
            <w:vAlign w:val="center"/>
            <w:hideMark/>
          </w:tcPr>
          <w:p w14:paraId="7865CB56" w14:textId="77777777"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rPr>
              <w:t>4</w:t>
            </w:r>
          </w:p>
        </w:tc>
        <w:tc>
          <w:tcPr>
            <w:tcW w:w="3911" w:type="pct"/>
            <w:shd w:val="clear" w:color="auto" w:fill="F8F5F0"/>
            <w:tcMar>
              <w:top w:w="120" w:type="dxa"/>
              <w:left w:w="150" w:type="dxa"/>
              <w:bottom w:w="120" w:type="dxa"/>
              <w:right w:w="150" w:type="dxa"/>
            </w:tcMar>
            <w:hideMark/>
          </w:tcPr>
          <w:p w14:paraId="743697F4" w14:textId="77777777"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rPr>
              <w:t>95% or higher</w:t>
            </w:r>
          </w:p>
        </w:tc>
      </w:tr>
      <w:tr w:rsidR="00C70941" w:rsidRPr="00C70941" w14:paraId="052A9E14" w14:textId="77777777" w:rsidTr="007A0A70">
        <w:trPr>
          <w:tblCellSpacing w:w="15" w:type="dxa"/>
        </w:trPr>
        <w:tc>
          <w:tcPr>
            <w:tcW w:w="1041" w:type="pct"/>
            <w:shd w:val="clear" w:color="auto" w:fill="FFFFFF"/>
            <w:tcMar>
              <w:top w:w="120" w:type="dxa"/>
              <w:left w:w="150" w:type="dxa"/>
              <w:bottom w:w="120" w:type="dxa"/>
              <w:right w:w="150" w:type="dxa"/>
            </w:tcMar>
            <w:vAlign w:val="center"/>
            <w:hideMark/>
          </w:tcPr>
          <w:p w14:paraId="093739A3" w14:textId="77777777"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rPr>
              <w:t>3</w:t>
            </w:r>
          </w:p>
        </w:tc>
        <w:tc>
          <w:tcPr>
            <w:tcW w:w="3911" w:type="pct"/>
            <w:shd w:val="clear" w:color="auto" w:fill="FFFFFF"/>
            <w:tcMar>
              <w:top w:w="120" w:type="dxa"/>
              <w:left w:w="150" w:type="dxa"/>
              <w:bottom w:w="120" w:type="dxa"/>
              <w:right w:w="150" w:type="dxa"/>
            </w:tcMar>
            <w:hideMark/>
          </w:tcPr>
          <w:p w14:paraId="26AAE547" w14:textId="74B85B40" w:rsidR="00C70941" w:rsidRPr="00C70941" w:rsidRDefault="009A68E5" w:rsidP="007A0A70">
            <w:pPr>
              <w:spacing w:after="0" w:line="240" w:lineRule="auto"/>
              <w:rPr>
                <w:rFonts w:ascii="Arial" w:eastAsia="Times New Roman" w:hAnsi="Arial" w:cs="Arial"/>
              </w:rPr>
            </w:pPr>
            <w:r>
              <w:rPr>
                <w:rFonts w:ascii="Arial" w:eastAsia="Times New Roman" w:hAnsi="Arial" w:cs="Arial"/>
              </w:rPr>
              <w:t>75 – 94%</w:t>
            </w:r>
          </w:p>
        </w:tc>
      </w:tr>
      <w:tr w:rsidR="00C70941" w:rsidRPr="00C70941" w14:paraId="7715F7F3" w14:textId="77777777" w:rsidTr="007A0A70">
        <w:trPr>
          <w:tblCellSpacing w:w="15" w:type="dxa"/>
        </w:trPr>
        <w:tc>
          <w:tcPr>
            <w:tcW w:w="1041" w:type="pct"/>
            <w:shd w:val="clear" w:color="auto" w:fill="F8F5F0"/>
            <w:tcMar>
              <w:top w:w="120" w:type="dxa"/>
              <w:left w:w="150" w:type="dxa"/>
              <w:bottom w:w="120" w:type="dxa"/>
              <w:right w:w="150" w:type="dxa"/>
            </w:tcMar>
            <w:vAlign w:val="center"/>
            <w:hideMark/>
          </w:tcPr>
          <w:p w14:paraId="4EFF0B1B" w14:textId="77777777"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rPr>
              <w:t>2</w:t>
            </w:r>
          </w:p>
        </w:tc>
        <w:tc>
          <w:tcPr>
            <w:tcW w:w="3911" w:type="pct"/>
            <w:shd w:val="clear" w:color="auto" w:fill="F8F5F0"/>
            <w:tcMar>
              <w:top w:w="120" w:type="dxa"/>
              <w:left w:w="150" w:type="dxa"/>
              <w:bottom w:w="120" w:type="dxa"/>
              <w:right w:w="150" w:type="dxa"/>
            </w:tcMar>
            <w:hideMark/>
          </w:tcPr>
          <w:p w14:paraId="2959DA3C" w14:textId="77777777"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rPr>
              <w:t>50 – 74%</w:t>
            </w:r>
          </w:p>
        </w:tc>
      </w:tr>
      <w:tr w:rsidR="00C70941" w:rsidRPr="00C70941" w14:paraId="6C2793AB" w14:textId="77777777" w:rsidTr="007A0A70">
        <w:trPr>
          <w:tblCellSpacing w:w="15" w:type="dxa"/>
        </w:trPr>
        <w:tc>
          <w:tcPr>
            <w:tcW w:w="1041" w:type="pct"/>
            <w:shd w:val="clear" w:color="auto" w:fill="FFFFFF"/>
            <w:tcMar>
              <w:top w:w="120" w:type="dxa"/>
              <w:left w:w="150" w:type="dxa"/>
              <w:bottom w:w="120" w:type="dxa"/>
              <w:right w:w="150" w:type="dxa"/>
            </w:tcMar>
            <w:vAlign w:val="center"/>
            <w:hideMark/>
          </w:tcPr>
          <w:p w14:paraId="20D62269" w14:textId="77777777"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rPr>
              <w:t>1</w:t>
            </w:r>
          </w:p>
        </w:tc>
        <w:tc>
          <w:tcPr>
            <w:tcW w:w="3911" w:type="pct"/>
            <w:shd w:val="clear" w:color="auto" w:fill="FFFFFF"/>
            <w:tcMar>
              <w:top w:w="120" w:type="dxa"/>
              <w:left w:w="150" w:type="dxa"/>
              <w:bottom w:w="120" w:type="dxa"/>
              <w:right w:w="150" w:type="dxa"/>
            </w:tcMar>
            <w:hideMark/>
          </w:tcPr>
          <w:p w14:paraId="51F2D6CF" w14:textId="77777777"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rPr>
              <w:t>0 – 49%</w:t>
            </w:r>
          </w:p>
        </w:tc>
      </w:tr>
      <w:tr w:rsidR="00C70941" w:rsidRPr="00C70941" w14:paraId="30A0D352" w14:textId="77777777" w:rsidTr="007A0A70">
        <w:trPr>
          <w:tblCellSpacing w:w="15" w:type="dxa"/>
        </w:trPr>
        <w:tc>
          <w:tcPr>
            <w:tcW w:w="1041" w:type="pct"/>
            <w:shd w:val="clear" w:color="auto" w:fill="F8F5F0"/>
            <w:tcMar>
              <w:top w:w="120" w:type="dxa"/>
              <w:left w:w="150" w:type="dxa"/>
              <w:bottom w:w="120" w:type="dxa"/>
              <w:right w:w="150" w:type="dxa"/>
            </w:tcMar>
            <w:vAlign w:val="center"/>
            <w:hideMark/>
          </w:tcPr>
          <w:p w14:paraId="45590A78" w14:textId="77777777"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rPr>
              <w:t>NR</w:t>
            </w:r>
          </w:p>
        </w:tc>
        <w:tc>
          <w:tcPr>
            <w:tcW w:w="3911" w:type="pct"/>
            <w:shd w:val="clear" w:color="auto" w:fill="F8F5F0"/>
            <w:tcMar>
              <w:top w:w="120" w:type="dxa"/>
              <w:left w:w="150" w:type="dxa"/>
              <w:bottom w:w="120" w:type="dxa"/>
              <w:right w:w="150" w:type="dxa"/>
            </w:tcMar>
            <w:hideMark/>
          </w:tcPr>
          <w:p w14:paraId="03F38779" w14:textId="3B75A037" w:rsidR="00C70941" w:rsidRPr="00C70941" w:rsidRDefault="00C70941" w:rsidP="007A0A70">
            <w:pPr>
              <w:spacing w:after="0" w:line="240" w:lineRule="auto"/>
              <w:rPr>
                <w:rFonts w:ascii="Arial" w:eastAsia="Times New Roman" w:hAnsi="Arial" w:cs="Arial"/>
              </w:rPr>
            </w:pPr>
            <w:r w:rsidRPr="00C70941">
              <w:rPr>
                <w:rFonts w:ascii="Arial" w:eastAsia="Times New Roman" w:hAnsi="Arial" w:cs="Arial"/>
              </w:rPr>
              <w:t xml:space="preserve">0 students </w:t>
            </w:r>
            <w:r w:rsidR="0007305A">
              <w:rPr>
                <w:rFonts w:ascii="Arial" w:eastAsia="Times New Roman" w:hAnsi="Arial" w:cs="Arial"/>
              </w:rPr>
              <w:t>with initial evaluations in </w:t>
            </w:r>
            <w:r w:rsidR="00C7294A">
              <w:rPr>
                <w:rFonts w:ascii="Arial" w:eastAsia="Times New Roman" w:hAnsi="Arial" w:cs="Arial"/>
              </w:rPr>
              <w:t>201</w:t>
            </w:r>
            <w:r w:rsidR="00261D45">
              <w:rPr>
                <w:rFonts w:ascii="Arial" w:eastAsia="Times New Roman" w:hAnsi="Arial" w:cs="Arial"/>
              </w:rPr>
              <w:t>9</w:t>
            </w:r>
            <w:r w:rsidR="00C7294A">
              <w:rPr>
                <w:rFonts w:ascii="Arial" w:eastAsia="Times New Roman" w:hAnsi="Arial" w:cs="Arial"/>
              </w:rPr>
              <w:t>-20</w:t>
            </w:r>
            <w:r w:rsidR="00261D45">
              <w:rPr>
                <w:rFonts w:ascii="Arial" w:eastAsia="Times New Roman" w:hAnsi="Arial" w:cs="Arial"/>
              </w:rPr>
              <w:t>20</w:t>
            </w:r>
          </w:p>
        </w:tc>
      </w:tr>
    </w:tbl>
    <w:p w14:paraId="24D7CAA1" w14:textId="77777777" w:rsidR="00C70941" w:rsidRDefault="00C70941" w:rsidP="007A0A70">
      <w:pPr>
        <w:shd w:val="clear" w:color="auto" w:fill="FFFFFF"/>
        <w:spacing w:before="120" w:after="120" w:line="240" w:lineRule="auto"/>
        <w:rPr>
          <w:rFonts w:ascii="Arial" w:eastAsia="Times New Roman" w:hAnsi="Arial" w:cs="Arial"/>
          <w:color w:val="3E3F3A"/>
          <w:sz w:val="21"/>
          <w:szCs w:val="21"/>
        </w:rPr>
      </w:pPr>
    </w:p>
    <w:p w14:paraId="0585542A" w14:textId="77777777" w:rsidR="00EE02E8" w:rsidRDefault="00EE02E8" w:rsidP="007A0A70">
      <w:pPr>
        <w:shd w:val="clear" w:color="auto" w:fill="FFFFFF"/>
        <w:spacing w:before="120" w:after="120" w:line="240" w:lineRule="auto"/>
        <w:rPr>
          <w:rFonts w:ascii="Arial" w:eastAsia="Times New Roman" w:hAnsi="Arial" w:cs="Arial"/>
          <w:b/>
          <w:bCs/>
          <w:sz w:val="21"/>
          <w:szCs w:val="21"/>
        </w:rPr>
      </w:pPr>
    </w:p>
    <w:p w14:paraId="7E2CCE0F" w14:textId="77777777" w:rsidR="003F5301" w:rsidRDefault="003F5301" w:rsidP="007A0A70">
      <w:pPr>
        <w:spacing w:before="120" w:after="120" w:line="240" w:lineRule="auto"/>
        <w:rPr>
          <w:rFonts w:ascii="Arial" w:eastAsia="Times New Roman" w:hAnsi="Arial" w:cs="Arial"/>
          <w:b/>
          <w:bCs/>
          <w:sz w:val="21"/>
          <w:szCs w:val="21"/>
        </w:rPr>
      </w:pPr>
      <w:r>
        <w:rPr>
          <w:rFonts w:ascii="Arial" w:eastAsia="Times New Roman" w:hAnsi="Arial" w:cs="Arial"/>
          <w:b/>
          <w:bCs/>
          <w:sz w:val="21"/>
          <w:szCs w:val="21"/>
        </w:rPr>
        <w:br w:type="page"/>
      </w:r>
    </w:p>
    <w:p w14:paraId="66FA8248" w14:textId="2581C344" w:rsidR="008B7FB6" w:rsidRPr="008B7FB6" w:rsidRDefault="008B7FB6" w:rsidP="007A0A70">
      <w:pPr>
        <w:shd w:val="clear" w:color="auto" w:fill="FFFFFF"/>
        <w:spacing w:before="120" w:after="120" w:line="240" w:lineRule="auto"/>
        <w:rPr>
          <w:rFonts w:ascii="Arial" w:eastAsia="Times New Roman" w:hAnsi="Arial" w:cs="Arial"/>
          <w:sz w:val="21"/>
          <w:szCs w:val="21"/>
        </w:rPr>
      </w:pPr>
      <w:r w:rsidRPr="008B7FB6">
        <w:rPr>
          <w:rFonts w:ascii="Arial" w:eastAsia="Times New Roman" w:hAnsi="Arial" w:cs="Arial"/>
          <w:b/>
          <w:bCs/>
          <w:sz w:val="21"/>
          <w:szCs w:val="21"/>
        </w:rPr>
        <w:lastRenderedPageBreak/>
        <w:t>Indicator 12:</w:t>
      </w:r>
      <w:r w:rsidRPr="008B7FB6">
        <w:rPr>
          <w:rFonts w:ascii="Arial" w:eastAsia="Times New Roman" w:hAnsi="Arial" w:cs="Arial"/>
          <w:sz w:val="21"/>
          <w:szCs w:val="21"/>
        </w:rPr>
        <w:t> Early Childhood Transition from Part C to Part B</w:t>
      </w:r>
    </w:p>
    <w:p w14:paraId="3364F8BF" w14:textId="77777777" w:rsidR="008B7FB6" w:rsidRPr="008B7FB6" w:rsidRDefault="008B7FB6" w:rsidP="007A0A70">
      <w:pPr>
        <w:shd w:val="clear" w:color="auto" w:fill="FFFFFF"/>
        <w:spacing w:before="120" w:after="120" w:line="240" w:lineRule="auto"/>
        <w:rPr>
          <w:rFonts w:ascii="Arial" w:eastAsia="Times New Roman" w:hAnsi="Arial" w:cs="Arial"/>
          <w:sz w:val="21"/>
          <w:szCs w:val="21"/>
        </w:rPr>
      </w:pPr>
      <w:r w:rsidRPr="008B7FB6">
        <w:rPr>
          <w:rFonts w:ascii="Arial" w:eastAsia="Times New Roman" w:hAnsi="Arial" w:cs="Arial"/>
          <w:sz w:val="21"/>
          <w:szCs w:val="21"/>
        </w:rPr>
        <w:t>Target: 100%</w:t>
      </w:r>
    </w:p>
    <w:tbl>
      <w:tblPr>
        <w:tblW w:w="5000" w:type="pct"/>
        <w:tblCellSpacing w:w="15"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CellMar>
          <w:top w:w="15" w:type="dxa"/>
          <w:left w:w="15" w:type="dxa"/>
          <w:bottom w:w="15" w:type="dxa"/>
          <w:right w:w="15" w:type="dxa"/>
        </w:tblCellMar>
        <w:tblLook w:val="04A0" w:firstRow="1" w:lastRow="0" w:firstColumn="1" w:lastColumn="0" w:noHBand="0" w:noVBand="1"/>
      </w:tblPr>
      <w:tblGrid>
        <w:gridCol w:w="1868"/>
        <w:gridCol w:w="7476"/>
      </w:tblGrid>
      <w:tr w:rsidR="008B7FB6" w:rsidRPr="008B7FB6" w14:paraId="2B2DA1F8" w14:textId="77777777" w:rsidTr="008B7FB6">
        <w:trPr>
          <w:tblHeader/>
          <w:tblCellSpacing w:w="15" w:type="dxa"/>
        </w:trPr>
        <w:tc>
          <w:tcPr>
            <w:tcW w:w="4968" w:type="pct"/>
            <w:gridSpan w:val="2"/>
            <w:shd w:val="clear" w:color="auto" w:fill="auto"/>
            <w:tcMar>
              <w:top w:w="150" w:type="dxa"/>
              <w:left w:w="270" w:type="dxa"/>
              <w:bottom w:w="150" w:type="dxa"/>
              <w:right w:w="270" w:type="dxa"/>
            </w:tcMar>
            <w:vAlign w:val="bottom"/>
            <w:hideMark/>
          </w:tcPr>
          <w:p w14:paraId="0C5EC80F" w14:textId="5AAF3972" w:rsidR="008B7FB6" w:rsidRPr="008B7FB6" w:rsidRDefault="008B7FB6" w:rsidP="007A0A70">
            <w:pPr>
              <w:spacing w:after="0" w:line="240" w:lineRule="auto"/>
              <w:rPr>
                <w:rFonts w:ascii="Arial" w:eastAsia="Times New Roman" w:hAnsi="Arial" w:cs="Arial"/>
                <w:b/>
                <w:bCs/>
              </w:rPr>
            </w:pPr>
            <w:r w:rsidRPr="008B7FB6">
              <w:rPr>
                <w:rFonts w:ascii="Arial" w:eastAsia="Times New Roman" w:hAnsi="Arial" w:cs="Arial"/>
                <w:b/>
                <w:bCs/>
              </w:rPr>
              <w:t>Indicator 12 – Percent</w:t>
            </w:r>
            <w:r w:rsidR="005E1909">
              <w:rPr>
                <w:rFonts w:ascii="Arial" w:eastAsia="Times New Roman" w:hAnsi="Arial" w:cs="Arial"/>
                <w:b/>
                <w:bCs/>
              </w:rPr>
              <w:t>age</w:t>
            </w:r>
            <w:r w:rsidRPr="008B7FB6">
              <w:rPr>
                <w:rFonts w:ascii="Arial" w:eastAsia="Times New Roman" w:hAnsi="Arial" w:cs="Arial"/>
                <w:b/>
                <w:bCs/>
              </w:rPr>
              <w:t xml:space="preserve"> of children referred by Part C (early intervention services) prior to age 3, who are found eligible for Part B (preschool services), and who have an IEP developed and implemented by their third birthdays.</w:t>
            </w:r>
          </w:p>
        </w:tc>
      </w:tr>
      <w:tr w:rsidR="008B7FB6" w:rsidRPr="008B7FB6" w14:paraId="5276DD4A" w14:textId="77777777" w:rsidTr="007A0A70">
        <w:trPr>
          <w:tblCellSpacing w:w="15" w:type="dxa"/>
        </w:trPr>
        <w:tc>
          <w:tcPr>
            <w:tcW w:w="979" w:type="pct"/>
            <w:shd w:val="clear" w:color="auto" w:fill="FFFFFF"/>
            <w:tcMar>
              <w:top w:w="120" w:type="dxa"/>
              <w:left w:w="150" w:type="dxa"/>
              <w:bottom w:w="120" w:type="dxa"/>
              <w:right w:w="150" w:type="dxa"/>
            </w:tcMar>
            <w:hideMark/>
          </w:tcPr>
          <w:p w14:paraId="10AB7B9E" w14:textId="77777777" w:rsidR="008B7FB6" w:rsidRPr="008B7FB6" w:rsidRDefault="008B7FB6" w:rsidP="007A0A70">
            <w:pPr>
              <w:spacing w:after="0" w:line="240" w:lineRule="auto"/>
              <w:rPr>
                <w:rFonts w:ascii="Arial" w:eastAsia="Times New Roman" w:hAnsi="Arial" w:cs="Arial"/>
              </w:rPr>
            </w:pPr>
            <w:r w:rsidRPr="008B7FB6">
              <w:rPr>
                <w:rFonts w:ascii="Arial" w:eastAsia="Times New Roman" w:hAnsi="Arial" w:cs="Arial"/>
                <w:b/>
                <w:bCs/>
              </w:rPr>
              <w:t>Data Source</w:t>
            </w:r>
          </w:p>
        </w:tc>
        <w:tc>
          <w:tcPr>
            <w:tcW w:w="3973" w:type="pct"/>
            <w:shd w:val="clear" w:color="auto" w:fill="FFFFFF"/>
            <w:tcMar>
              <w:top w:w="120" w:type="dxa"/>
              <w:left w:w="150" w:type="dxa"/>
              <w:bottom w:w="120" w:type="dxa"/>
              <w:right w:w="150" w:type="dxa"/>
            </w:tcMar>
            <w:hideMark/>
          </w:tcPr>
          <w:p w14:paraId="1DB20BAE" w14:textId="4B798173" w:rsidR="008B7FB6" w:rsidRPr="008B7FB6" w:rsidRDefault="0007305A" w:rsidP="007A0A70">
            <w:pPr>
              <w:spacing w:after="0" w:line="240" w:lineRule="auto"/>
              <w:rPr>
                <w:rFonts w:ascii="Arial" w:eastAsia="Times New Roman" w:hAnsi="Arial" w:cs="Arial"/>
              </w:rPr>
            </w:pPr>
            <w:r>
              <w:rPr>
                <w:rFonts w:ascii="Arial" w:eastAsia="Times New Roman" w:hAnsi="Arial" w:cs="Arial"/>
              </w:rPr>
              <w:t>Data collected in </w:t>
            </w:r>
            <w:r w:rsidR="00C7294A">
              <w:rPr>
                <w:rFonts w:ascii="Arial" w:eastAsia="Times New Roman" w:hAnsi="Arial" w:cs="Arial"/>
              </w:rPr>
              <w:t>201</w:t>
            </w:r>
            <w:r w:rsidR="00C03FB0">
              <w:rPr>
                <w:rFonts w:ascii="Arial" w:eastAsia="Times New Roman" w:hAnsi="Arial" w:cs="Arial"/>
              </w:rPr>
              <w:t>9</w:t>
            </w:r>
            <w:r w:rsidR="00C7294A">
              <w:rPr>
                <w:rFonts w:ascii="Arial" w:eastAsia="Times New Roman" w:hAnsi="Arial" w:cs="Arial"/>
              </w:rPr>
              <w:t>-20</w:t>
            </w:r>
            <w:r w:rsidR="00C03FB0">
              <w:rPr>
                <w:rFonts w:ascii="Arial" w:eastAsia="Times New Roman" w:hAnsi="Arial" w:cs="Arial"/>
              </w:rPr>
              <w:t>20</w:t>
            </w:r>
            <w:r w:rsidR="008B7FB6" w:rsidRPr="008B7FB6">
              <w:rPr>
                <w:rFonts w:ascii="Arial" w:eastAsia="Times New Roman" w:hAnsi="Arial" w:cs="Arial"/>
              </w:rPr>
              <w:t> EMIS year-end Special Education Event Record.</w:t>
            </w:r>
          </w:p>
        </w:tc>
      </w:tr>
      <w:tr w:rsidR="008B7FB6" w:rsidRPr="008B7FB6" w14:paraId="7BE747E8" w14:textId="77777777" w:rsidTr="007A0A70">
        <w:trPr>
          <w:tblCellSpacing w:w="15" w:type="dxa"/>
        </w:trPr>
        <w:tc>
          <w:tcPr>
            <w:tcW w:w="979" w:type="pct"/>
            <w:shd w:val="clear" w:color="auto" w:fill="FFFFFF"/>
            <w:tcMar>
              <w:top w:w="120" w:type="dxa"/>
              <w:left w:w="150" w:type="dxa"/>
              <w:bottom w:w="120" w:type="dxa"/>
              <w:right w:w="150" w:type="dxa"/>
            </w:tcMar>
            <w:hideMark/>
          </w:tcPr>
          <w:p w14:paraId="351439DF" w14:textId="77777777" w:rsidR="008B7FB6" w:rsidRPr="008B7FB6" w:rsidRDefault="008B7FB6" w:rsidP="007A0A70">
            <w:pPr>
              <w:spacing w:after="0" w:line="240" w:lineRule="auto"/>
              <w:rPr>
                <w:rFonts w:ascii="Arial" w:eastAsia="Times New Roman" w:hAnsi="Arial" w:cs="Arial"/>
              </w:rPr>
            </w:pPr>
            <w:r w:rsidRPr="008B7FB6">
              <w:rPr>
                <w:rFonts w:ascii="Arial" w:eastAsia="Times New Roman" w:hAnsi="Arial" w:cs="Arial"/>
                <w:b/>
                <w:bCs/>
              </w:rPr>
              <w:t>Notes</w:t>
            </w:r>
          </w:p>
        </w:tc>
        <w:tc>
          <w:tcPr>
            <w:tcW w:w="3973" w:type="pct"/>
            <w:shd w:val="clear" w:color="auto" w:fill="FFFFFF"/>
            <w:tcMar>
              <w:top w:w="120" w:type="dxa"/>
              <w:left w:w="150" w:type="dxa"/>
              <w:bottom w:w="120" w:type="dxa"/>
              <w:right w:w="150" w:type="dxa"/>
            </w:tcMar>
            <w:hideMark/>
          </w:tcPr>
          <w:p w14:paraId="591C2AB0" w14:textId="282EBBF5" w:rsidR="008B7FB6" w:rsidRDefault="008B7FB6" w:rsidP="007A0A70">
            <w:pPr>
              <w:spacing w:after="0" w:line="240" w:lineRule="auto"/>
              <w:rPr>
                <w:rFonts w:ascii="Arial" w:eastAsia="Times New Roman" w:hAnsi="Arial" w:cs="Arial"/>
              </w:rPr>
            </w:pPr>
            <w:r w:rsidRPr="008B7FB6">
              <w:rPr>
                <w:rFonts w:ascii="Arial" w:eastAsia="Times New Roman" w:hAnsi="Arial" w:cs="Arial"/>
              </w:rPr>
              <w:t>There is no minimum group size used; all districts with at least one student transitioning from Part C to B in</w:t>
            </w:r>
            <w:r w:rsidR="0007305A">
              <w:rPr>
                <w:rFonts w:ascii="Arial" w:eastAsia="Times New Roman" w:hAnsi="Arial" w:cs="Arial"/>
              </w:rPr>
              <w:t xml:space="preserve"> </w:t>
            </w:r>
            <w:r w:rsidR="00C7294A">
              <w:rPr>
                <w:rFonts w:ascii="Arial" w:eastAsia="Times New Roman" w:hAnsi="Arial" w:cs="Arial"/>
              </w:rPr>
              <w:t>201</w:t>
            </w:r>
            <w:r w:rsidR="00C03FB0">
              <w:rPr>
                <w:rFonts w:ascii="Arial" w:eastAsia="Times New Roman" w:hAnsi="Arial" w:cs="Arial"/>
              </w:rPr>
              <w:t>9</w:t>
            </w:r>
            <w:r w:rsidR="00C7294A">
              <w:rPr>
                <w:rFonts w:ascii="Arial" w:eastAsia="Times New Roman" w:hAnsi="Arial" w:cs="Arial"/>
              </w:rPr>
              <w:t>-20</w:t>
            </w:r>
            <w:r w:rsidR="00C03FB0">
              <w:rPr>
                <w:rFonts w:ascii="Arial" w:eastAsia="Times New Roman" w:hAnsi="Arial" w:cs="Arial"/>
              </w:rPr>
              <w:t>20</w:t>
            </w:r>
            <w:r w:rsidRPr="008B7FB6">
              <w:rPr>
                <w:rFonts w:ascii="Arial" w:eastAsia="Times New Roman" w:hAnsi="Arial" w:cs="Arial"/>
              </w:rPr>
              <w:t> receive a score for Indicator 12.</w:t>
            </w:r>
          </w:p>
          <w:p w14:paraId="65CB12C3" w14:textId="77777777" w:rsidR="00823C50" w:rsidRDefault="00823C50" w:rsidP="007A0A70">
            <w:pPr>
              <w:spacing w:after="0" w:line="240" w:lineRule="auto"/>
              <w:rPr>
                <w:rFonts w:ascii="Arial" w:eastAsia="Times New Roman" w:hAnsi="Arial" w:cs="Arial"/>
              </w:rPr>
            </w:pPr>
          </w:p>
          <w:p w14:paraId="63FCFF9E" w14:textId="4AFCA117" w:rsidR="00823C50" w:rsidRPr="008B7FB6" w:rsidRDefault="00823C50" w:rsidP="007A0A70">
            <w:pPr>
              <w:spacing w:after="0" w:line="240" w:lineRule="auto"/>
              <w:rPr>
                <w:rFonts w:ascii="Arial" w:eastAsia="Times New Roman" w:hAnsi="Arial" w:cs="Arial"/>
              </w:rPr>
            </w:pPr>
            <w:r w:rsidRPr="00823C50">
              <w:rPr>
                <w:rFonts w:ascii="Arial" w:eastAsia="Times New Roman" w:hAnsi="Arial" w:cs="Arial"/>
              </w:rPr>
              <w:t>Beginning with the 2020 ratings (based on 2018-2019 data), districts with systemic underreporting of students transitioning from Part C, identified through review by the Office of Early Learning and School Readiness, will automatically receive a score of 2.</w:t>
            </w:r>
          </w:p>
        </w:tc>
      </w:tr>
      <w:tr w:rsidR="008B7FB6" w:rsidRPr="008B7FB6" w14:paraId="05892F47" w14:textId="77777777" w:rsidTr="007B7ABF">
        <w:trPr>
          <w:tblHeader/>
          <w:tblCellSpacing w:w="15" w:type="dxa"/>
        </w:trPr>
        <w:tc>
          <w:tcPr>
            <w:tcW w:w="979" w:type="pct"/>
            <w:shd w:val="clear" w:color="auto" w:fill="auto"/>
            <w:tcMar>
              <w:top w:w="150" w:type="dxa"/>
              <w:left w:w="270" w:type="dxa"/>
              <w:bottom w:w="150" w:type="dxa"/>
              <w:right w:w="270" w:type="dxa"/>
            </w:tcMar>
            <w:vAlign w:val="center"/>
            <w:hideMark/>
          </w:tcPr>
          <w:p w14:paraId="11F28CA0" w14:textId="77777777" w:rsidR="008B7FB6" w:rsidRPr="008B7FB6" w:rsidRDefault="008B7FB6" w:rsidP="007A0A70">
            <w:pPr>
              <w:spacing w:after="0" w:line="240" w:lineRule="auto"/>
              <w:jc w:val="center"/>
              <w:rPr>
                <w:rFonts w:ascii="Arial" w:eastAsia="Times New Roman" w:hAnsi="Arial" w:cs="Arial"/>
                <w:b/>
                <w:bCs/>
              </w:rPr>
            </w:pPr>
            <w:r w:rsidRPr="008B7FB6">
              <w:rPr>
                <w:rFonts w:ascii="Arial" w:eastAsia="Times New Roman" w:hAnsi="Arial" w:cs="Arial"/>
                <w:b/>
                <w:bCs/>
              </w:rPr>
              <w:t>Indicator 12 Points</w:t>
            </w:r>
          </w:p>
        </w:tc>
        <w:tc>
          <w:tcPr>
            <w:tcW w:w="3973" w:type="pct"/>
            <w:shd w:val="clear" w:color="auto" w:fill="auto"/>
            <w:tcMar>
              <w:top w:w="150" w:type="dxa"/>
              <w:left w:w="270" w:type="dxa"/>
              <w:bottom w:w="150" w:type="dxa"/>
              <w:right w:w="270" w:type="dxa"/>
            </w:tcMar>
            <w:vAlign w:val="center"/>
            <w:hideMark/>
          </w:tcPr>
          <w:p w14:paraId="210986E8" w14:textId="77777777" w:rsidR="008B7FB6" w:rsidRPr="008B7FB6" w:rsidRDefault="008B7FB6" w:rsidP="007A0A70">
            <w:pPr>
              <w:spacing w:after="0" w:line="240" w:lineRule="auto"/>
              <w:rPr>
                <w:rFonts w:ascii="Arial" w:eastAsia="Times New Roman" w:hAnsi="Arial" w:cs="Arial"/>
                <w:b/>
                <w:bCs/>
              </w:rPr>
            </w:pPr>
            <w:r w:rsidRPr="008B7FB6">
              <w:rPr>
                <w:rFonts w:ascii="Arial" w:eastAsia="Times New Roman" w:hAnsi="Arial" w:cs="Arial"/>
                <w:b/>
                <w:bCs/>
              </w:rPr>
              <w:t>Criteria</w:t>
            </w:r>
          </w:p>
        </w:tc>
      </w:tr>
      <w:tr w:rsidR="008B7FB6" w:rsidRPr="008B7FB6" w14:paraId="711C5223" w14:textId="77777777" w:rsidTr="007A0A70">
        <w:trPr>
          <w:tblCellSpacing w:w="15" w:type="dxa"/>
        </w:trPr>
        <w:tc>
          <w:tcPr>
            <w:tcW w:w="979" w:type="pct"/>
            <w:shd w:val="clear" w:color="auto" w:fill="F8F5F0"/>
            <w:tcMar>
              <w:top w:w="120" w:type="dxa"/>
              <w:left w:w="150" w:type="dxa"/>
              <w:bottom w:w="120" w:type="dxa"/>
              <w:right w:w="150" w:type="dxa"/>
            </w:tcMar>
            <w:vAlign w:val="center"/>
            <w:hideMark/>
          </w:tcPr>
          <w:p w14:paraId="7AE764B9" w14:textId="77777777" w:rsidR="008B7FB6" w:rsidRPr="008B7FB6" w:rsidRDefault="008B7FB6" w:rsidP="007A0A70">
            <w:pPr>
              <w:spacing w:after="0" w:line="240" w:lineRule="auto"/>
              <w:rPr>
                <w:rFonts w:ascii="Arial" w:eastAsia="Times New Roman" w:hAnsi="Arial" w:cs="Arial"/>
              </w:rPr>
            </w:pPr>
            <w:r w:rsidRPr="008B7FB6">
              <w:rPr>
                <w:rFonts w:ascii="Arial" w:eastAsia="Times New Roman" w:hAnsi="Arial" w:cs="Arial"/>
              </w:rPr>
              <w:t>4</w:t>
            </w:r>
          </w:p>
        </w:tc>
        <w:tc>
          <w:tcPr>
            <w:tcW w:w="3973" w:type="pct"/>
            <w:shd w:val="clear" w:color="auto" w:fill="F8F5F0"/>
            <w:tcMar>
              <w:top w:w="120" w:type="dxa"/>
              <w:left w:w="150" w:type="dxa"/>
              <w:bottom w:w="120" w:type="dxa"/>
              <w:right w:w="150" w:type="dxa"/>
            </w:tcMar>
            <w:hideMark/>
          </w:tcPr>
          <w:p w14:paraId="1A0FF450" w14:textId="77777777" w:rsidR="008B7FB6" w:rsidRPr="008B7FB6" w:rsidRDefault="008B7FB6" w:rsidP="007A0A70">
            <w:pPr>
              <w:spacing w:after="0" w:line="240" w:lineRule="auto"/>
              <w:rPr>
                <w:rFonts w:ascii="Arial" w:eastAsia="Times New Roman" w:hAnsi="Arial" w:cs="Arial"/>
              </w:rPr>
            </w:pPr>
            <w:r w:rsidRPr="008B7FB6">
              <w:rPr>
                <w:rFonts w:ascii="Arial" w:eastAsia="Times New Roman" w:hAnsi="Arial" w:cs="Arial"/>
              </w:rPr>
              <w:t>95% or higher</w:t>
            </w:r>
          </w:p>
        </w:tc>
      </w:tr>
      <w:tr w:rsidR="008B7FB6" w:rsidRPr="008B7FB6" w14:paraId="6A006B8C" w14:textId="77777777" w:rsidTr="007A0A70">
        <w:trPr>
          <w:tblCellSpacing w:w="15" w:type="dxa"/>
        </w:trPr>
        <w:tc>
          <w:tcPr>
            <w:tcW w:w="979" w:type="pct"/>
            <w:shd w:val="clear" w:color="auto" w:fill="FFFFFF"/>
            <w:tcMar>
              <w:top w:w="120" w:type="dxa"/>
              <w:left w:w="150" w:type="dxa"/>
              <w:bottom w:w="120" w:type="dxa"/>
              <w:right w:w="150" w:type="dxa"/>
            </w:tcMar>
            <w:vAlign w:val="center"/>
            <w:hideMark/>
          </w:tcPr>
          <w:p w14:paraId="668807F1" w14:textId="77777777" w:rsidR="008B7FB6" w:rsidRPr="008B7FB6" w:rsidRDefault="008B7FB6" w:rsidP="007A0A70">
            <w:pPr>
              <w:spacing w:after="0" w:line="240" w:lineRule="auto"/>
              <w:rPr>
                <w:rFonts w:ascii="Arial" w:eastAsia="Times New Roman" w:hAnsi="Arial" w:cs="Arial"/>
              </w:rPr>
            </w:pPr>
            <w:r w:rsidRPr="008B7FB6">
              <w:rPr>
                <w:rFonts w:ascii="Arial" w:eastAsia="Times New Roman" w:hAnsi="Arial" w:cs="Arial"/>
              </w:rPr>
              <w:t>3</w:t>
            </w:r>
          </w:p>
        </w:tc>
        <w:tc>
          <w:tcPr>
            <w:tcW w:w="3973" w:type="pct"/>
            <w:shd w:val="clear" w:color="auto" w:fill="FFFFFF"/>
            <w:tcMar>
              <w:top w:w="120" w:type="dxa"/>
              <w:left w:w="150" w:type="dxa"/>
              <w:bottom w:w="120" w:type="dxa"/>
              <w:right w:w="150" w:type="dxa"/>
            </w:tcMar>
            <w:hideMark/>
          </w:tcPr>
          <w:p w14:paraId="0BA592E1" w14:textId="61CF343B" w:rsidR="008B7FB6" w:rsidRPr="008B7FB6" w:rsidRDefault="00267B44" w:rsidP="007A0A70">
            <w:pPr>
              <w:spacing w:after="0" w:line="240" w:lineRule="auto"/>
              <w:rPr>
                <w:rFonts w:ascii="Arial" w:eastAsia="Times New Roman" w:hAnsi="Arial" w:cs="Arial"/>
              </w:rPr>
            </w:pPr>
            <w:r>
              <w:rPr>
                <w:rFonts w:ascii="Arial" w:eastAsia="Times New Roman" w:hAnsi="Arial" w:cs="Arial"/>
              </w:rPr>
              <w:t>75 – 94%</w:t>
            </w:r>
          </w:p>
        </w:tc>
      </w:tr>
      <w:tr w:rsidR="008B7FB6" w:rsidRPr="008B7FB6" w14:paraId="4AA31384" w14:textId="77777777" w:rsidTr="007A0A70">
        <w:trPr>
          <w:tblCellSpacing w:w="15" w:type="dxa"/>
        </w:trPr>
        <w:tc>
          <w:tcPr>
            <w:tcW w:w="979" w:type="pct"/>
            <w:shd w:val="clear" w:color="auto" w:fill="F8F5F0"/>
            <w:tcMar>
              <w:top w:w="120" w:type="dxa"/>
              <w:left w:w="150" w:type="dxa"/>
              <w:bottom w:w="120" w:type="dxa"/>
              <w:right w:w="150" w:type="dxa"/>
            </w:tcMar>
            <w:vAlign w:val="center"/>
            <w:hideMark/>
          </w:tcPr>
          <w:p w14:paraId="2D2AC156" w14:textId="77777777" w:rsidR="008B7FB6" w:rsidRPr="008B7FB6" w:rsidRDefault="008B7FB6" w:rsidP="007A0A70">
            <w:pPr>
              <w:spacing w:after="0" w:line="240" w:lineRule="auto"/>
              <w:rPr>
                <w:rFonts w:ascii="Arial" w:eastAsia="Times New Roman" w:hAnsi="Arial" w:cs="Arial"/>
              </w:rPr>
            </w:pPr>
            <w:r w:rsidRPr="008B7FB6">
              <w:rPr>
                <w:rFonts w:ascii="Arial" w:eastAsia="Times New Roman" w:hAnsi="Arial" w:cs="Arial"/>
              </w:rPr>
              <w:t>2</w:t>
            </w:r>
          </w:p>
        </w:tc>
        <w:tc>
          <w:tcPr>
            <w:tcW w:w="3973" w:type="pct"/>
            <w:shd w:val="clear" w:color="auto" w:fill="F8F5F0"/>
            <w:tcMar>
              <w:top w:w="120" w:type="dxa"/>
              <w:left w:w="150" w:type="dxa"/>
              <w:bottom w:w="120" w:type="dxa"/>
              <w:right w:w="150" w:type="dxa"/>
            </w:tcMar>
            <w:hideMark/>
          </w:tcPr>
          <w:p w14:paraId="5C47D429" w14:textId="77777777" w:rsidR="008B7FB6" w:rsidRPr="008B7FB6" w:rsidRDefault="008B7FB6" w:rsidP="007A0A70">
            <w:pPr>
              <w:spacing w:after="0" w:line="240" w:lineRule="auto"/>
              <w:rPr>
                <w:rFonts w:ascii="Arial" w:eastAsia="Times New Roman" w:hAnsi="Arial" w:cs="Arial"/>
              </w:rPr>
            </w:pPr>
            <w:r w:rsidRPr="008B7FB6">
              <w:rPr>
                <w:rFonts w:ascii="Arial" w:eastAsia="Times New Roman" w:hAnsi="Arial" w:cs="Arial"/>
              </w:rPr>
              <w:t>50 – 74%</w:t>
            </w:r>
          </w:p>
        </w:tc>
      </w:tr>
      <w:tr w:rsidR="008B7FB6" w:rsidRPr="008B7FB6" w14:paraId="193956C5" w14:textId="77777777" w:rsidTr="007A0A70">
        <w:trPr>
          <w:tblCellSpacing w:w="15" w:type="dxa"/>
        </w:trPr>
        <w:tc>
          <w:tcPr>
            <w:tcW w:w="979" w:type="pct"/>
            <w:shd w:val="clear" w:color="auto" w:fill="FFFFFF"/>
            <w:tcMar>
              <w:top w:w="120" w:type="dxa"/>
              <w:left w:w="150" w:type="dxa"/>
              <w:bottom w:w="120" w:type="dxa"/>
              <w:right w:w="150" w:type="dxa"/>
            </w:tcMar>
            <w:vAlign w:val="center"/>
            <w:hideMark/>
          </w:tcPr>
          <w:p w14:paraId="6D309AFF" w14:textId="77777777" w:rsidR="008B7FB6" w:rsidRPr="008B7FB6" w:rsidRDefault="008B7FB6" w:rsidP="007A0A70">
            <w:pPr>
              <w:spacing w:after="0" w:line="240" w:lineRule="auto"/>
              <w:rPr>
                <w:rFonts w:ascii="Arial" w:eastAsia="Times New Roman" w:hAnsi="Arial" w:cs="Arial"/>
              </w:rPr>
            </w:pPr>
            <w:r w:rsidRPr="008B7FB6">
              <w:rPr>
                <w:rFonts w:ascii="Arial" w:eastAsia="Times New Roman" w:hAnsi="Arial" w:cs="Arial"/>
              </w:rPr>
              <w:t>1</w:t>
            </w:r>
          </w:p>
        </w:tc>
        <w:tc>
          <w:tcPr>
            <w:tcW w:w="3973" w:type="pct"/>
            <w:shd w:val="clear" w:color="auto" w:fill="FFFFFF"/>
            <w:tcMar>
              <w:top w:w="120" w:type="dxa"/>
              <w:left w:w="150" w:type="dxa"/>
              <w:bottom w:w="120" w:type="dxa"/>
              <w:right w:w="150" w:type="dxa"/>
            </w:tcMar>
            <w:hideMark/>
          </w:tcPr>
          <w:p w14:paraId="7CB725FD" w14:textId="77777777" w:rsidR="008B7FB6" w:rsidRPr="008B7FB6" w:rsidRDefault="008B7FB6" w:rsidP="007A0A70">
            <w:pPr>
              <w:spacing w:after="0" w:line="240" w:lineRule="auto"/>
              <w:rPr>
                <w:rFonts w:ascii="Arial" w:eastAsia="Times New Roman" w:hAnsi="Arial" w:cs="Arial"/>
              </w:rPr>
            </w:pPr>
            <w:r w:rsidRPr="008B7FB6">
              <w:rPr>
                <w:rFonts w:ascii="Arial" w:eastAsia="Times New Roman" w:hAnsi="Arial" w:cs="Arial"/>
              </w:rPr>
              <w:t>0 – 49%</w:t>
            </w:r>
          </w:p>
        </w:tc>
      </w:tr>
      <w:tr w:rsidR="008B7FB6" w:rsidRPr="008B7FB6" w14:paraId="475DE94C" w14:textId="77777777" w:rsidTr="007A0A70">
        <w:trPr>
          <w:tblCellSpacing w:w="15" w:type="dxa"/>
        </w:trPr>
        <w:tc>
          <w:tcPr>
            <w:tcW w:w="979" w:type="pct"/>
            <w:shd w:val="clear" w:color="auto" w:fill="F8F5F0"/>
            <w:tcMar>
              <w:top w:w="120" w:type="dxa"/>
              <w:left w:w="150" w:type="dxa"/>
              <w:bottom w:w="120" w:type="dxa"/>
              <w:right w:w="150" w:type="dxa"/>
            </w:tcMar>
            <w:vAlign w:val="center"/>
            <w:hideMark/>
          </w:tcPr>
          <w:p w14:paraId="47C280C8" w14:textId="77777777" w:rsidR="008B7FB6" w:rsidRPr="008B7FB6" w:rsidRDefault="008B7FB6" w:rsidP="007A0A70">
            <w:pPr>
              <w:spacing w:after="0" w:line="240" w:lineRule="auto"/>
              <w:rPr>
                <w:rFonts w:ascii="Arial" w:eastAsia="Times New Roman" w:hAnsi="Arial" w:cs="Arial"/>
              </w:rPr>
            </w:pPr>
            <w:r w:rsidRPr="008B7FB6">
              <w:rPr>
                <w:rFonts w:ascii="Arial" w:eastAsia="Times New Roman" w:hAnsi="Arial" w:cs="Arial"/>
              </w:rPr>
              <w:t>NR</w:t>
            </w:r>
          </w:p>
        </w:tc>
        <w:tc>
          <w:tcPr>
            <w:tcW w:w="3973" w:type="pct"/>
            <w:shd w:val="clear" w:color="auto" w:fill="F8F5F0"/>
            <w:tcMar>
              <w:top w:w="120" w:type="dxa"/>
              <w:left w:w="150" w:type="dxa"/>
              <w:bottom w:w="120" w:type="dxa"/>
              <w:right w:w="150" w:type="dxa"/>
            </w:tcMar>
            <w:hideMark/>
          </w:tcPr>
          <w:p w14:paraId="0BD361DC" w14:textId="258B9FE2" w:rsidR="008B7FB6" w:rsidRPr="008B7FB6" w:rsidRDefault="008B7FB6" w:rsidP="007A0A70">
            <w:pPr>
              <w:spacing w:after="0" w:line="240" w:lineRule="auto"/>
              <w:rPr>
                <w:rFonts w:ascii="Arial" w:eastAsia="Times New Roman" w:hAnsi="Arial" w:cs="Arial"/>
              </w:rPr>
            </w:pPr>
            <w:r w:rsidRPr="008B7FB6">
              <w:rPr>
                <w:rFonts w:ascii="Arial" w:eastAsia="Times New Roman" w:hAnsi="Arial" w:cs="Arial"/>
              </w:rPr>
              <w:t>0 students transitioning from Part C to Part B in </w:t>
            </w:r>
            <w:r w:rsidR="00C7294A">
              <w:rPr>
                <w:rFonts w:ascii="Arial" w:eastAsia="Times New Roman" w:hAnsi="Arial" w:cs="Arial"/>
              </w:rPr>
              <w:t>201</w:t>
            </w:r>
            <w:r w:rsidR="005E1909">
              <w:rPr>
                <w:rFonts w:ascii="Arial" w:eastAsia="Times New Roman" w:hAnsi="Arial" w:cs="Arial"/>
              </w:rPr>
              <w:t>9</w:t>
            </w:r>
            <w:r w:rsidR="00C7294A">
              <w:rPr>
                <w:rFonts w:ascii="Arial" w:eastAsia="Times New Roman" w:hAnsi="Arial" w:cs="Arial"/>
              </w:rPr>
              <w:t>-20</w:t>
            </w:r>
            <w:r w:rsidR="005E1909">
              <w:rPr>
                <w:rFonts w:ascii="Arial" w:eastAsia="Times New Roman" w:hAnsi="Arial" w:cs="Arial"/>
              </w:rPr>
              <w:t>20</w:t>
            </w:r>
          </w:p>
        </w:tc>
      </w:tr>
    </w:tbl>
    <w:p w14:paraId="78CBE12C" w14:textId="16D9DD64" w:rsidR="008B7FB6" w:rsidRDefault="008B7FB6" w:rsidP="007A0A70">
      <w:pPr>
        <w:shd w:val="clear" w:color="auto" w:fill="FFFFFF"/>
        <w:spacing w:before="120" w:after="120" w:line="240" w:lineRule="auto"/>
        <w:rPr>
          <w:rFonts w:ascii="Arial" w:eastAsia="Times New Roman" w:hAnsi="Arial" w:cs="Arial"/>
          <w:color w:val="3E3F3A"/>
          <w:sz w:val="21"/>
          <w:szCs w:val="21"/>
        </w:rPr>
      </w:pPr>
    </w:p>
    <w:p w14:paraId="3F0F0205" w14:textId="77777777" w:rsidR="00FF1F4E" w:rsidRPr="00C70941" w:rsidRDefault="00FF1F4E" w:rsidP="007A0A70">
      <w:pPr>
        <w:shd w:val="clear" w:color="auto" w:fill="FFFFFF"/>
        <w:spacing w:before="120" w:after="120" w:line="240" w:lineRule="auto"/>
        <w:rPr>
          <w:rFonts w:ascii="Arial" w:eastAsia="Times New Roman" w:hAnsi="Arial" w:cs="Arial"/>
          <w:color w:val="3E3F3A"/>
          <w:sz w:val="21"/>
          <w:szCs w:val="21"/>
        </w:rPr>
      </w:pPr>
    </w:p>
    <w:p w14:paraId="38C1837F" w14:textId="77777777" w:rsidR="003F5301" w:rsidRDefault="003F5301" w:rsidP="007A0A70">
      <w:pPr>
        <w:spacing w:before="120" w:after="120" w:line="240" w:lineRule="auto"/>
        <w:rPr>
          <w:rFonts w:ascii="Arial" w:eastAsia="Times New Roman" w:hAnsi="Arial" w:cs="Arial"/>
          <w:b/>
          <w:bCs/>
          <w:szCs w:val="21"/>
        </w:rPr>
      </w:pPr>
      <w:r>
        <w:rPr>
          <w:rFonts w:ascii="Arial" w:eastAsia="Times New Roman" w:hAnsi="Arial" w:cs="Arial"/>
          <w:b/>
          <w:bCs/>
          <w:szCs w:val="21"/>
        </w:rPr>
        <w:br w:type="page"/>
      </w:r>
    </w:p>
    <w:p w14:paraId="1438381A" w14:textId="51C97605" w:rsidR="00EE02E8" w:rsidRPr="00647DF8" w:rsidRDefault="00EE02E8" w:rsidP="007A0A70">
      <w:pPr>
        <w:shd w:val="clear" w:color="auto" w:fill="FFFFFF"/>
        <w:spacing w:before="120" w:after="120" w:line="240" w:lineRule="auto"/>
        <w:rPr>
          <w:rFonts w:ascii="Arial" w:eastAsia="Times New Roman" w:hAnsi="Arial" w:cs="Arial"/>
          <w:szCs w:val="21"/>
        </w:rPr>
      </w:pPr>
      <w:r w:rsidRPr="00647DF8">
        <w:rPr>
          <w:rFonts w:ascii="Arial" w:eastAsia="Times New Roman" w:hAnsi="Arial" w:cs="Arial"/>
          <w:b/>
          <w:bCs/>
          <w:szCs w:val="21"/>
        </w:rPr>
        <w:lastRenderedPageBreak/>
        <w:t>Indicator 13:</w:t>
      </w:r>
      <w:r w:rsidRPr="00647DF8">
        <w:rPr>
          <w:rFonts w:ascii="Arial" w:eastAsia="Times New Roman" w:hAnsi="Arial" w:cs="Arial"/>
          <w:szCs w:val="21"/>
        </w:rPr>
        <w:t> Secondary Transition</w:t>
      </w:r>
    </w:p>
    <w:p w14:paraId="145C9035" w14:textId="6D578656" w:rsidR="00E46D22" w:rsidRPr="003F5301" w:rsidRDefault="00EE02E8" w:rsidP="007A0A70">
      <w:pPr>
        <w:shd w:val="clear" w:color="auto" w:fill="FFFFFF"/>
        <w:spacing w:before="120" w:after="120" w:line="240" w:lineRule="auto"/>
        <w:rPr>
          <w:rFonts w:ascii="Arial" w:eastAsia="Times New Roman" w:hAnsi="Arial" w:cs="Arial"/>
          <w:szCs w:val="21"/>
        </w:rPr>
      </w:pPr>
      <w:r w:rsidRPr="00647DF8">
        <w:rPr>
          <w:rFonts w:ascii="Arial" w:eastAsia="Times New Roman" w:hAnsi="Arial" w:cs="Arial"/>
          <w:szCs w:val="21"/>
        </w:rPr>
        <w:t>Target: 100%</w:t>
      </w:r>
    </w:p>
    <w:tbl>
      <w:tblPr>
        <w:tblW w:w="5000" w:type="pct"/>
        <w:tblCellSpacing w:w="15"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CellMar>
          <w:top w:w="15" w:type="dxa"/>
          <w:left w:w="15" w:type="dxa"/>
          <w:bottom w:w="15" w:type="dxa"/>
          <w:right w:w="15" w:type="dxa"/>
        </w:tblCellMar>
        <w:tblLook w:val="04A0" w:firstRow="1" w:lastRow="0" w:firstColumn="1" w:lastColumn="0" w:noHBand="0" w:noVBand="1"/>
      </w:tblPr>
      <w:tblGrid>
        <w:gridCol w:w="2427"/>
        <w:gridCol w:w="6917"/>
      </w:tblGrid>
      <w:tr w:rsidR="00EE02E8" w:rsidRPr="00EE02E8" w14:paraId="17BACCCC" w14:textId="77777777" w:rsidTr="00EE02E8">
        <w:trPr>
          <w:tblHeader/>
          <w:tblCellSpacing w:w="15" w:type="dxa"/>
        </w:trPr>
        <w:tc>
          <w:tcPr>
            <w:tcW w:w="4968" w:type="pct"/>
            <w:gridSpan w:val="2"/>
            <w:shd w:val="clear" w:color="auto" w:fill="auto"/>
            <w:tcMar>
              <w:top w:w="150" w:type="dxa"/>
              <w:left w:w="270" w:type="dxa"/>
              <w:bottom w:w="150" w:type="dxa"/>
              <w:right w:w="270" w:type="dxa"/>
            </w:tcMar>
            <w:vAlign w:val="bottom"/>
            <w:hideMark/>
          </w:tcPr>
          <w:p w14:paraId="3E14EC43" w14:textId="742BA3D0" w:rsidR="00EE02E8" w:rsidRPr="00EE02E8" w:rsidRDefault="00EE02E8" w:rsidP="007A0A70">
            <w:pPr>
              <w:spacing w:after="0" w:line="240" w:lineRule="auto"/>
              <w:rPr>
                <w:rFonts w:ascii="Arial" w:eastAsia="Times New Roman" w:hAnsi="Arial" w:cs="Arial"/>
                <w:b/>
                <w:bCs/>
              </w:rPr>
            </w:pPr>
            <w:r w:rsidRPr="00EE02E8">
              <w:rPr>
                <w:rFonts w:ascii="Arial" w:eastAsia="Times New Roman" w:hAnsi="Arial" w:cs="Arial"/>
                <w:b/>
                <w:bCs/>
              </w:rPr>
              <w:t>Indicator 13 - Percent</w:t>
            </w:r>
            <w:r w:rsidR="005E1909">
              <w:rPr>
                <w:rFonts w:ascii="Arial" w:eastAsia="Times New Roman" w:hAnsi="Arial" w:cs="Arial"/>
                <w:b/>
                <w:bCs/>
              </w:rPr>
              <w:t>age</w:t>
            </w:r>
            <w:r w:rsidRPr="00EE02E8">
              <w:rPr>
                <w:rFonts w:ascii="Arial" w:eastAsia="Times New Roman" w:hAnsi="Arial" w:cs="Arial"/>
                <w:b/>
                <w:bCs/>
              </w:rPr>
              <w:t xml:space="preserve"> of youth with IEPs age 16 and above with an IEP that includes:</w:t>
            </w:r>
          </w:p>
          <w:p w14:paraId="43B8AA38" w14:textId="2A91EE9D" w:rsidR="00EE02E8" w:rsidRPr="00EE02E8" w:rsidRDefault="00EE02E8" w:rsidP="007A0A70">
            <w:pPr>
              <w:numPr>
                <w:ilvl w:val="0"/>
                <w:numId w:val="7"/>
              </w:numPr>
              <w:spacing w:after="0" w:line="240" w:lineRule="auto"/>
              <w:ind w:left="390" w:hanging="390"/>
              <w:rPr>
                <w:rFonts w:ascii="Arial" w:eastAsia="Times New Roman" w:hAnsi="Arial" w:cs="Arial"/>
                <w:bCs/>
              </w:rPr>
            </w:pPr>
            <w:r w:rsidRPr="00EE02E8">
              <w:rPr>
                <w:rFonts w:ascii="Arial" w:eastAsia="Times New Roman" w:hAnsi="Arial" w:cs="Arial"/>
                <w:bCs/>
              </w:rPr>
              <w:t>Appropriate measurable postsecondary goals that are annually updated and based upon an age</w:t>
            </w:r>
            <w:r w:rsidR="007A0A70">
              <w:rPr>
                <w:rFonts w:ascii="Arial" w:eastAsia="Times New Roman" w:hAnsi="Arial" w:cs="Arial"/>
                <w:bCs/>
              </w:rPr>
              <w:t>-</w:t>
            </w:r>
            <w:r w:rsidRPr="00EE02E8">
              <w:rPr>
                <w:rFonts w:ascii="Arial" w:eastAsia="Times New Roman" w:hAnsi="Arial" w:cs="Arial"/>
                <w:bCs/>
              </w:rPr>
              <w:t xml:space="preserve">appropriate transition </w:t>
            </w:r>
            <w:proofErr w:type="gramStart"/>
            <w:r w:rsidRPr="00EE02E8">
              <w:rPr>
                <w:rFonts w:ascii="Arial" w:eastAsia="Times New Roman" w:hAnsi="Arial" w:cs="Arial"/>
                <w:bCs/>
              </w:rPr>
              <w:t>assessment;</w:t>
            </w:r>
            <w:proofErr w:type="gramEnd"/>
          </w:p>
          <w:p w14:paraId="1E67050E" w14:textId="77777777" w:rsidR="00EE02E8" w:rsidRPr="00EE02E8" w:rsidRDefault="00EE02E8" w:rsidP="007A0A70">
            <w:pPr>
              <w:numPr>
                <w:ilvl w:val="0"/>
                <w:numId w:val="7"/>
              </w:numPr>
              <w:spacing w:after="0" w:line="240" w:lineRule="auto"/>
              <w:ind w:left="390" w:hanging="390"/>
              <w:rPr>
                <w:rFonts w:ascii="Arial" w:eastAsia="Times New Roman" w:hAnsi="Arial" w:cs="Arial"/>
                <w:bCs/>
              </w:rPr>
            </w:pPr>
            <w:r w:rsidRPr="00EE02E8">
              <w:rPr>
                <w:rFonts w:ascii="Arial" w:eastAsia="Times New Roman" w:hAnsi="Arial" w:cs="Arial"/>
                <w:bCs/>
              </w:rPr>
              <w:t xml:space="preserve">Transition services, including courses of study, that will reasonably enable the student to meet those postsecondary </w:t>
            </w:r>
            <w:proofErr w:type="gramStart"/>
            <w:r w:rsidRPr="00EE02E8">
              <w:rPr>
                <w:rFonts w:ascii="Arial" w:eastAsia="Times New Roman" w:hAnsi="Arial" w:cs="Arial"/>
                <w:bCs/>
              </w:rPr>
              <w:t>goals;</w:t>
            </w:r>
            <w:proofErr w:type="gramEnd"/>
          </w:p>
          <w:p w14:paraId="7139B456" w14:textId="77777777" w:rsidR="00EE02E8" w:rsidRPr="00EE02E8" w:rsidRDefault="00EE02E8" w:rsidP="007A0A70">
            <w:pPr>
              <w:numPr>
                <w:ilvl w:val="0"/>
                <w:numId w:val="7"/>
              </w:numPr>
              <w:spacing w:after="0" w:line="240" w:lineRule="auto"/>
              <w:ind w:left="390" w:hanging="390"/>
              <w:rPr>
                <w:rFonts w:ascii="Arial" w:eastAsia="Times New Roman" w:hAnsi="Arial" w:cs="Arial"/>
                <w:bCs/>
              </w:rPr>
            </w:pPr>
            <w:r w:rsidRPr="00EE02E8">
              <w:rPr>
                <w:rFonts w:ascii="Arial" w:eastAsia="Times New Roman" w:hAnsi="Arial" w:cs="Arial"/>
                <w:bCs/>
              </w:rPr>
              <w:t xml:space="preserve">Annual IEP goals related to the student's transition </w:t>
            </w:r>
            <w:proofErr w:type="spellStart"/>
            <w:r w:rsidRPr="00EE02E8">
              <w:rPr>
                <w:rFonts w:ascii="Arial" w:eastAsia="Times New Roman" w:hAnsi="Arial" w:cs="Arial"/>
                <w:bCs/>
              </w:rPr>
              <w:t>services</w:t>
            </w:r>
            <w:proofErr w:type="spellEnd"/>
            <w:r w:rsidRPr="00EE02E8">
              <w:rPr>
                <w:rFonts w:ascii="Arial" w:eastAsia="Times New Roman" w:hAnsi="Arial" w:cs="Arial"/>
                <w:bCs/>
              </w:rPr>
              <w:t xml:space="preserve"> </w:t>
            </w:r>
            <w:proofErr w:type="gramStart"/>
            <w:r w:rsidRPr="00EE02E8">
              <w:rPr>
                <w:rFonts w:ascii="Arial" w:eastAsia="Times New Roman" w:hAnsi="Arial" w:cs="Arial"/>
                <w:bCs/>
              </w:rPr>
              <w:t>needs;</w:t>
            </w:r>
            <w:proofErr w:type="gramEnd"/>
          </w:p>
          <w:p w14:paraId="4DC847AB" w14:textId="77777777" w:rsidR="00EE02E8" w:rsidRPr="00EE02E8" w:rsidRDefault="00EE02E8" w:rsidP="007A0A70">
            <w:pPr>
              <w:numPr>
                <w:ilvl w:val="0"/>
                <w:numId w:val="7"/>
              </w:numPr>
              <w:spacing w:after="0" w:line="240" w:lineRule="auto"/>
              <w:ind w:left="390" w:hanging="390"/>
              <w:rPr>
                <w:rFonts w:ascii="Arial" w:eastAsia="Times New Roman" w:hAnsi="Arial" w:cs="Arial"/>
                <w:bCs/>
              </w:rPr>
            </w:pPr>
            <w:r w:rsidRPr="00EE02E8">
              <w:rPr>
                <w:rFonts w:ascii="Arial" w:eastAsia="Times New Roman" w:hAnsi="Arial" w:cs="Arial"/>
                <w:bCs/>
              </w:rPr>
              <w:t>Evidence that the student was invited to the IEP Team meeting where transition services are to be discussed; and</w:t>
            </w:r>
          </w:p>
          <w:p w14:paraId="177251DA" w14:textId="77777777" w:rsidR="00EE02E8" w:rsidRPr="00EE02E8" w:rsidRDefault="00EE02E8" w:rsidP="007A0A70">
            <w:pPr>
              <w:numPr>
                <w:ilvl w:val="0"/>
                <w:numId w:val="7"/>
              </w:numPr>
              <w:spacing w:after="0" w:line="240" w:lineRule="auto"/>
              <w:ind w:left="390" w:hanging="390"/>
              <w:rPr>
                <w:rFonts w:ascii="Arial" w:eastAsia="Times New Roman" w:hAnsi="Arial" w:cs="Arial"/>
                <w:b/>
                <w:bCs/>
              </w:rPr>
            </w:pPr>
            <w:r w:rsidRPr="00EE02E8">
              <w:rPr>
                <w:rFonts w:ascii="Arial" w:eastAsia="Times New Roman" w:hAnsi="Arial" w:cs="Arial"/>
                <w:bCs/>
              </w:rPr>
              <w:t>Evidence that, if appropriate, a representative of any participating agency was invited to the IEP Team meeting with the prior consent of the parent or student who has reached the age of majority.</w:t>
            </w:r>
          </w:p>
        </w:tc>
      </w:tr>
      <w:tr w:rsidR="00EE02E8" w:rsidRPr="00EE02E8" w14:paraId="5C2E4900" w14:textId="77777777" w:rsidTr="007A0A70">
        <w:trPr>
          <w:tblCellSpacing w:w="15" w:type="dxa"/>
        </w:trPr>
        <w:tc>
          <w:tcPr>
            <w:tcW w:w="1279" w:type="pct"/>
            <w:shd w:val="clear" w:color="auto" w:fill="FFFFFF"/>
            <w:tcMar>
              <w:top w:w="120" w:type="dxa"/>
              <w:left w:w="150" w:type="dxa"/>
              <w:bottom w:w="120" w:type="dxa"/>
              <w:right w:w="150" w:type="dxa"/>
            </w:tcMar>
            <w:vAlign w:val="center"/>
            <w:hideMark/>
          </w:tcPr>
          <w:p w14:paraId="744F7537" w14:textId="77777777" w:rsidR="00EE02E8" w:rsidRPr="00EE02E8" w:rsidRDefault="00EE02E8" w:rsidP="007A0A70">
            <w:pPr>
              <w:spacing w:after="0" w:line="240" w:lineRule="auto"/>
              <w:rPr>
                <w:rFonts w:ascii="Arial" w:eastAsia="Times New Roman" w:hAnsi="Arial" w:cs="Arial"/>
              </w:rPr>
            </w:pPr>
            <w:r w:rsidRPr="00EE02E8">
              <w:rPr>
                <w:rFonts w:ascii="Arial" w:eastAsia="Times New Roman" w:hAnsi="Arial" w:cs="Arial"/>
                <w:b/>
                <w:bCs/>
              </w:rPr>
              <w:t>Data Source</w:t>
            </w:r>
          </w:p>
        </w:tc>
        <w:tc>
          <w:tcPr>
            <w:tcW w:w="3672" w:type="pct"/>
            <w:shd w:val="clear" w:color="auto" w:fill="FFFFFF"/>
            <w:tcMar>
              <w:top w:w="120" w:type="dxa"/>
              <w:left w:w="150" w:type="dxa"/>
              <w:bottom w:w="120" w:type="dxa"/>
              <w:right w:w="150" w:type="dxa"/>
            </w:tcMar>
            <w:hideMark/>
          </w:tcPr>
          <w:p w14:paraId="2750A748" w14:textId="1164FD90" w:rsidR="00BF1CBD" w:rsidRPr="00EE02E8" w:rsidRDefault="0007305A" w:rsidP="007A0A70">
            <w:pPr>
              <w:spacing w:after="0" w:line="240" w:lineRule="auto"/>
              <w:rPr>
                <w:rFonts w:ascii="Arial" w:eastAsia="Times New Roman" w:hAnsi="Arial" w:cs="Arial"/>
              </w:rPr>
            </w:pPr>
            <w:r>
              <w:rPr>
                <w:rFonts w:ascii="Arial" w:eastAsia="Times New Roman" w:hAnsi="Arial" w:cs="Arial"/>
              </w:rPr>
              <w:t>Data collected in </w:t>
            </w:r>
            <w:r w:rsidR="00C7294A">
              <w:rPr>
                <w:rFonts w:ascii="Arial" w:eastAsia="Times New Roman" w:hAnsi="Arial" w:cs="Arial"/>
              </w:rPr>
              <w:t>201</w:t>
            </w:r>
            <w:r w:rsidR="005E1909">
              <w:rPr>
                <w:rFonts w:ascii="Arial" w:eastAsia="Times New Roman" w:hAnsi="Arial" w:cs="Arial"/>
              </w:rPr>
              <w:t>9</w:t>
            </w:r>
            <w:r w:rsidR="00C7294A">
              <w:rPr>
                <w:rFonts w:ascii="Arial" w:eastAsia="Times New Roman" w:hAnsi="Arial" w:cs="Arial"/>
              </w:rPr>
              <w:t>-20</w:t>
            </w:r>
            <w:r w:rsidR="005E1909">
              <w:rPr>
                <w:rFonts w:ascii="Arial" w:eastAsia="Times New Roman" w:hAnsi="Arial" w:cs="Arial"/>
              </w:rPr>
              <w:t>20</w:t>
            </w:r>
            <w:r w:rsidR="00EE02E8" w:rsidRPr="00EE02E8">
              <w:rPr>
                <w:rFonts w:ascii="Arial" w:eastAsia="Times New Roman" w:hAnsi="Arial" w:cs="Arial"/>
              </w:rPr>
              <w:t> EMIS year-end enrollment files and the Special Education Event Record.</w:t>
            </w:r>
          </w:p>
        </w:tc>
      </w:tr>
      <w:tr w:rsidR="00BF1CBD" w:rsidRPr="00EE02E8" w14:paraId="0ABBCC2C" w14:textId="77777777" w:rsidTr="007A0A70">
        <w:trPr>
          <w:tblCellSpacing w:w="15" w:type="dxa"/>
        </w:trPr>
        <w:tc>
          <w:tcPr>
            <w:tcW w:w="1279" w:type="pct"/>
            <w:shd w:val="clear" w:color="auto" w:fill="FFFFFF"/>
            <w:tcMar>
              <w:top w:w="120" w:type="dxa"/>
              <w:left w:w="150" w:type="dxa"/>
              <w:bottom w:w="120" w:type="dxa"/>
              <w:right w:w="150" w:type="dxa"/>
            </w:tcMar>
            <w:vAlign w:val="center"/>
          </w:tcPr>
          <w:p w14:paraId="4F50F4FA" w14:textId="2E7F384B" w:rsidR="00BF1CBD" w:rsidRPr="00EE02E8" w:rsidRDefault="00BF1CBD" w:rsidP="007A0A70">
            <w:pPr>
              <w:spacing w:after="0" w:line="240" w:lineRule="auto"/>
              <w:rPr>
                <w:rFonts w:ascii="Arial" w:eastAsia="Times New Roman" w:hAnsi="Arial" w:cs="Arial"/>
                <w:b/>
                <w:bCs/>
              </w:rPr>
            </w:pPr>
            <w:r>
              <w:rPr>
                <w:rFonts w:ascii="Arial" w:eastAsia="Times New Roman" w:hAnsi="Arial" w:cs="Arial"/>
                <w:b/>
                <w:bCs/>
              </w:rPr>
              <w:t>Notes</w:t>
            </w:r>
          </w:p>
        </w:tc>
        <w:tc>
          <w:tcPr>
            <w:tcW w:w="3672" w:type="pct"/>
            <w:shd w:val="clear" w:color="auto" w:fill="FFFFFF"/>
            <w:tcMar>
              <w:top w:w="120" w:type="dxa"/>
              <w:left w:w="150" w:type="dxa"/>
              <w:bottom w:w="120" w:type="dxa"/>
              <w:right w:w="150" w:type="dxa"/>
            </w:tcMar>
          </w:tcPr>
          <w:p w14:paraId="195F369B" w14:textId="77777777" w:rsidR="000D2D4E" w:rsidRPr="000D2D4E" w:rsidRDefault="000D2D4E" w:rsidP="007A0A70">
            <w:pPr>
              <w:spacing w:after="0" w:line="240" w:lineRule="auto"/>
              <w:rPr>
                <w:rFonts w:ascii="Arial" w:eastAsia="Times New Roman" w:hAnsi="Arial" w:cs="Arial"/>
              </w:rPr>
            </w:pPr>
            <w:r w:rsidRPr="000D2D4E">
              <w:rPr>
                <w:rFonts w:ascii="Arial" w:eastAsia="Times New Roman" w:hAnsi="Arial" w:cs="Arial"/>
              </w:rPr>
              <w:t xml:space="preserve">There is no minimum group size </w:t>
            </w:r>
            <w:proofErr w:type="gramStart"/>
            <w:r w:rsidRPr="000D2D4E">
              <w:rPr>
                <w:rFonts w:ascii="Arial" w:eastAsia="Times New Roman" w:hAnsi="Arial" w:cs="Arial"/>
              </w:rPr>
              <w:t>used;</w:t>
            </w:r>
            <w:proofErr w:type="gramEnd"/>
            <w:r w:rsidRPr="000D2D4E">
              <w:rPr>
                <w:rFonts w:ascii="Arial" w:eastAsia="Times New Roman" w:hAnsi="Arial" w:cs="Arial"/>
              </w:rPr>
              <w:t xml:space="preserve"> all districts with at least</w:t>
            </w:r>
          </w:p>
          <w:p w14:paraId="74BE9AD8" w14:textId="4C50819E" w:rsidR="000D2D4E" w:rsidRPr="000D2D4E" w:rsidRDefault="000D2D4E" w:rsidP="007A0A70">
            <w:pPr>
              <w:spacing w:after="0" w:line="240" w:lineRule="auto"/>
              <w:rPr>
                <w:rFonts w:ascii="Arial" w:eastAsia="Times New Roman" w:hAnsi="Arial" w:cs="Arial"/>
              </w:rPr>
            </w:pPr>
            <w:r w:rsidRPr="000D2D4E">
              <w:rPr>
                <w:rFonts w:ascii="Arial" w:eastAsia="Times New Roman" w:hAnsi="Arial" w:cs="Arial"/>
              </w:rPr>
              <w:t xml:space="preserve">one student </w:t>
            </w:r>
            <w:r w:rsidR="00EB2049">
              <w:rPr>
                <w:rFonts w:ascii="Arial" w:eastAsia="Times New Roman" w:hAnsi="Arial" w:cs="Arial"/>
              </w:rPr>
              <w:t>with a disability age 16 or above</w:t>
            </w:r>
            <w:r w:rsidRPr="000D2D4E">
              <w:rPr>
                <w:rFonts w:ascii="Arial" w:eastAsia="Times New Roman" w:hAnsi="Arial" w:cs="Arial"/>
              </w:rPr>
              <w:t xml:space="preserve"> in </w:t>
            </w:r>
            <w:r w:rsidR="00C7294A">
              <w:rPr>
                <w:rFonts w:ascii="Arial" w:eastAsia="Times New Roman" w:hAnsi="Arial" w:cs="Arial"/>
              </w:rPr>
              <w:t>201</w:t>
            </w:r>
            <w:r w:rsidR="005E1909">
              <w:rPr>
                <w:rFonts w:ascii="Arial" w:eastAsia="Times New Roman" w:hAnsi="Arial" w:cs="Arial"/>
              </w:rPr>
              <w:t>9</w:t>
            </w:r>
            <w:r w:rsidR="00C7294A">
              <w:rPr>
                <w:rFonts w:ascii="Arial" w:eastAsia="Times New Roman" w:hAnsi="Arial" w:cs="Arial"/>
              </w:rPr>
              <w:t>-20</w:t>
            </w:r>
            <w:r w:rsidR="005E1909">
              <w:rPr>
                <w:rFonts w:ascii="Arial" w:eastAsia="Times New Roman" w:hAnsi="Arial" w:cs="Arial"/>
              </w:rPr>
              <w:t>20</w:t>
            </w:r>
          </w:p>
          <w:p w14:paraId="0F7F0999" w14:textId="77777777" w:rsidR="00BF1CBD" w:rsidRDefault="000D2D4E" w:rsidP="007A0A70">
            <w:pPr>
              <w:spacing w:after="0" w:line="240" w:lineRule="auto"/>
              <w:rPr>
                <w:rFonts w:ascii="Arial" w:eastAsia="Times New Roman" w:hAnsi="Arial" w:cs="Arial"/>
              </w:rPr>
            </w:pPr>
            <w:r w:rsidRPr="000D2D4E">
              <w:rPr>
                <w:rFonts w:ascii="Arial" w:eastAsia="Times New Roman" w:hAnsi="Arial" w:cs="Arial"/>
              </w:rPr>
              <w:t>r</w:t>
            </w:r>
            <w:r w:rsidR="00EB2049">
              <w:rPr>
                <w:rFonts w:ascii="Arial" w:eastAsia="Times New Roman" w:hAnsi="Arial" w:cs="Arial"/>
              </w:rPr>
              <w:t>eceive a score for Indicator 13.</w:t>
            </w:r>
            <w:r w:rsidR="005E2C61">
              <w:rPr>
                <w:rFonts w:ascii="Arial" w:eastAsia="Times New Roman" w:hAnsi="Arial" w:cs="Arial"/>
              </w:rPr>
              <w:t xml:space="preserve"> </w:t>
            </w:r>
          </w:p>
          <w:p w14:paraId="78A263DD" w14:textId="77777777" w:rsidR="00BD69EB" w:rsidRPr="00780480" w:rsidRDefault="00BD69EB" w:rsidP="007A0A70">
            <w:pPr>
              <w:spacing w:after="0" w:line="240" w:lineRule="auto"/>
              <w:rPr>
                <w:rFonts w:ascii="Arial" w:eastAsia="Times New Roman" w:hAnsi="Arial" w:cs="Arial"/>
                <w:sz w:val="12"/>
                <w:szCs w:val="12"/>
              </w:rPr>
            </w:pPr>
          </w:p>
          <w:p w14:paraId="6FD2F2DC" w14:textId="5FF7C82D" w:rsidR="00BD69EB" w:rsidRDefault="00BD69EB" w:rsidP="007A0A70">
            <w:pPr>
              <w:spacing w:after="0" w:line="240" w:lineRule="auto"/>
              <w:rPr>
                <w:rFonts w:ascii="Arial" w:eastAsia="Times New Roman" w:hAnsi="Arial" w:cs="Arial"/>
              </w:rPr>
            </w:pPr>
            <w:r w:rsidRPr="00BD69EB">
              <w:rPr>
                <w:rFonts w:ascii="Arial" w:eastAsia="Times New Roman" w:hAnsi="Arial" w:cs="Arial"/>
              </w:rPr>
              <w:t>Although transition planning and services are required beginning at age 14 in Ohio, the federal indicator is specific to students with disabilities ages 16 and above.</w:t>
            </w:r>
          </w:p>
        </w:tc>
      </w:tr>
      <w:tr w:rsidR="00EE02E8" w:rsidRPr="00EE02E8" w14:paraId="390AF83C" w14:textId="77777777" w:rsidTr="00652885">
        <w:trPr>
          <w:tblHeader/>
          <w:tblCellSpacing w:w="15" w:type="dxa"/>
        </w:trPr>
        <w:tc>
          <w:tcPr>
            <w:tcW w:w="1279" w:type="pct"/>
            <w:shd w:val="clear" w:color="auto" w:fill="auto"/>
            <w:tcMar>
              <w:top w:w="150" w:type="dxa"/>
              <w:left w:w="270" w:type="dxa"/>
              <w:bottom w:w="150" w:type="dxa"/>
              <w:right w:w="270" w:type="dxa"/>
            </w:tcMar>
            <w:vAlign w:val="bottom"/>
            <w:hideMark/>
          </w:tcPr>
          <w:p w14:paraId="5BC2BED6" w14:textId="77777777" w:rsidR="00EE02E8" w:rsidRPr="00EE02E8" w:rsidRDefault="00EE02E8" w:rsidP="007A0A70">
            <w:pPr>
              <w:spacing w:after="0" w:line="240" w:lineRule="auto"/>
              <w:jc w:val="center"/>
              <w:rPr>
                <w:rFonts w:ascii="Arial" w:eastAsia="Times New Roman" w:hAnsi="Arial" w:cs="Arial"/>
                <w:b/>
                <w:bCs/>
              </w:rPr>
            </w:pPr>
            <w:r w:rsidRPr="00EE02E8">
              <w:rPr>
                <w:rFonts w:ascii="Arial" w:eastAsia="Times New Roman" w:hAnsi="Arial" w:cs="Arial"/>
                <w:b/>
                <w:bCs/>
              </w:rPr>
              <w:t>Indicator 13 Points</w:t>
            </w:r>
          </w:p>
        </w:tc>
        <w:tc>
          <w:tcPr>
            <w:tcW w:w="3672" w:type="pct"/>
            <w:shd w:val="clear" w:color="auto" w:fill="auto"/>
            <w:tcMar>
              <w:top w:w="150" w:type="dxa"/>
              <w:left w:w="270" w:type="dxa"/>
              <w:bottom w:w="150" w:type="dxa"/>
              <w:right w:w="270" w:type="dxa"/>
            </w:tcMar>
            <w:vAlign w:val="center"/>
            <w:hideMark/>
          </w:tcPr>
          <w:p w14:paraId="591FEE6F" w14:textId="77777777" w:rsidR="00EE02E8" w:rsidRPr="00EE02E8" w:rsidRDefault="00EE02E8" w:rsidP="007A0A70">
            <w:pPr>
              <w:spacing w:after="0" w:line="240" w:lineRule="auto"/>
              <w:rPr>
                <w:rFonts w:ascii="Arial" w:eastAsia="Times New Roman" w:hAnsi="Arial" w:cs="Arial"/>
                <w:b/>
                <w:bCs/>
              </w:rPr>
            </w:pPr>
            <w:r w:rsidRPr="00EE02E8">
              <w:rPr>
                <w:rFonts w:ascii="Arial" w:eastAsia="Times New Roman" w:hAnsi="Arial" w:cs="Arial"/>
                <w:b/>
                <w:bCs/>
              </w:rPr>
              <w:t>Criteria</w:t>
            </w:r>
          </w:p>
        </w:tc>
      </w:tr>
      <w:tr w:rsidR="00EE02E8" w:rsidRPr="00EE02E8" w14:paraId="1C5826FF" w14:textId="77777777" w:rsidTr="007A0A70">
        <w:trPr>
          <w:tblCellSpacing w:w="15" w:type="dxa"/>
        </w:trPr>
        <w:tc>
          <w:tcPr>
            <w:tcW w:w="1279" w:type="pct"/>
            <w:shd w:val="clear" w:color="auto" w:fill="F8F5F0"/>
            <w:tcMar>
              <w:top w:w="120" w:type="dxa"/>
              <w:left w:w="150" w:type="dxa"/>
              <w:bottom w:w="120" w:type="dxa"/>
              <w:right w:w="150" w:type="dxa"/>
            </w:tcMar>
            <w:vAlign w:val="center"/>
            <w:hideMark/>
          </w:tcPr>
          <w:p w14:paraId="74E1DC74" w14:textId="77777777" w:rsidR="00EE02E8" w:rsidRPr="00EE02E8" w:rsidRDefault="00EE02E8" w:rsidP="007A0A70">
            <w:pPr>
              <w:spacing w:after="0" w:line="240" w:lineRule="auto"/>
              <w:jc w:val="center"/>
              <w:rPr>
                <w:rFonts w:ascii="Arial" w:eastAsia="Times New Roman" w:hAnsi="Arial" w:cs="Arial"/>
              </w:rPr>
            </w:pPr>
            <w:r w:rsidRPr="00EE02E8">
              <w:rPr>
                <w:rFonts w:ascii="Arial" w:eastAsia="Times New Roman" w:hAnsi="Arial" w:cs="Arial"/>
              </w:rPr>
              <w:t>4</w:t>
            </w:r>
          </w:p>
        </w:tc>
        <w:tc>
          <w:tcPr>
            <w:tcW w:w="3672" w:type="pct"/>
            <w:shd w:val="clear" w:color="auto" w:fill="F8F5F0"/>
            <w:tcMar>
              <w:top w:w="120" w:type="dxa"/>
              <w:left w:w="150" w:type="dxa"/>
              <w:bottom w:w="120" w:type="dxa"/>
              <w:right w:w="150" w:type="dxa"/>
            </w:tcMar>
            <w:hideMark/>
          </w:tcPr>
          <w:p w14:paraId="17D332FF" w14:textId="77777777" w:rsidR="00EE02E8" w:rsidRPr="00EE02E8" w:rsidRDefault="00EE02E8" w:rsidP="007A0A70">
            <w:pPr>
              <w:spacing w:after="0" w:line="240" w:lineRule="auto"/>
              <w:rPr>
                <w:rFonts w:ascii="Arial" w:eastAsia="Times New Roman" w:hAnsi="Arial" w:cs="Arial"/>
              </w:rPr>
            </w:pPr>
            <w:r w:rsidRPr="00EE02E8">
              <w:rPr>
                <w:rFonts w:ascii="Arial" w:eastAsia="Times New Roman" w:hAnsi="Arial" w:cs="Arial"/>
              </w:rPr>
              <w:t>95% or higher</w:t>
            </w:r>
          </w:p>
        </w:tc>
      </w:tr>
      <w:tr w:rsidR="00EE02E8" w:rsidRPr="00EE02E8" w14:paraId="62A23B56" w14:textId="77777777" w:rsidTr="007A0A70">
        <w:trPr>
          <w:tblCellSpacing w:w="15" w:type="dxa"/>
        </w:trPr>
        <w:tc>
          <w:tcPr>
            <w:tcW w:w="1279" w:type="pct"/>
            <w:shd w:val="clear" w:color="auto" w:fill="FFFFFF"/>
            <w:tcMar>
              <w:top w:w="120" w:type="dxa"/>
              <w:left w:w="150" w:type="dxa"/>
              <w:bottom w:w="120" w:type="dxa"/>
              <w:right w:w="150" w:type="dxa"/>
            </w:tcMar>
            <w:vAlign w:val="center"/>
            <w:hideMark/>
          </w:tcPr>
          <w:p w14:paraId="7CDCCD9D" w14:textId="77777777" w:rsidR="00EE02E8" w:rsidRPr="00EE02E8" w:rsidRDefault="00EE02E8" w:rsidP="007A0A70">
            <w:pPr>
              <w:spacing w:after="0" w:line="240" w:lineRule="auto"/>
              <w:jc w:val="center"/>
              <w:rPr>
                <w:rFonts w:ascii="Arial" w:eastAsia="Times New Roman" w:hAnsi="Arial" w:cs="Arial"/>
              </w:rPr>
            </w:pPr>
            <w:r w:rsidRPr="00EE02E8">
              <w:rPr>
                <w:rFonts w:ascii="Arial" w:eastAsia="Times New Roman" w:hAnsi="Arial" w:cs="Arial"/>
              </w:rPr>
              <w:t>3</w:t>
            </w:r>
          </w:p>
        </w:tc>
        <w:tc>
          <w:tcPr>
            <w:tcW w:w="3672" w:type="pct"/>
            <w:shd w:val="clear" w:color="auto" w:fill="FFFFFF"/>
            <w:tcMar>
              <w:top w:w="120" w:type="dxa"/>
              <w:left w:w="150" w:type="dxa"/>
              <w:bottom w:w="120" w:type="dxa"/>
              <w:right w:w="150" w:type="dxa"/>
            </w:tcMar>
            <w:hideMark/>
          </w:tcPr>
          <w:p w14:paraId="3DC8FD17" w14:textId="4A0BF857" w:rsidR="00EE02E8" w:rsidRPr="00EE02E8" w:rsidRDefault="00780480" w:rsidP="007A0A70">
            <w:pPr>
              <w:spacing w:after="0" w:line="240" w:lineRule="auto"/>
              <w:rPr>
                <w:rFonts w:ascii="Arial" w:eastAsia="Times New Roman" w:hAnsi="Arial" w:cs="Arial"/>
              </w:rPr>
            </w:pPr>
            <w:r>
              <w:rPr>
                <w:rFonts w:ascii="Arial" w:eastAsia="Times New Roman" w:hAnsi="Arial" w:cs="Arial"/>
              </w:rPr>
              <w:t>75 – 94%</w:t>
            </w:r>
          </w:p>
        </w:tc>
      </w:tr>
      <w:tr w:rsidR="00EE02E8" w:rsidRPr="00EE02E8" w14:paraId="3B8F0634" w14:textId="77777777" w:rsidTr="007A0A70">
        <w:trPr>
          <w:tblCellSpacing w:w="15" w:type="dxa"/>
        </w:trPr>
        <w:tc>
          <w:tcPr>
            <w:tcW w:w="1279" w:type="pct"/>
            <w:shd w:val="clear" w:color="auto" w:fill="F8F5F0"/>
            <w:tcMar>
              <w:top w:w="120" w:type="dxa"/>
              <w:left w:w="150" w:type="dxa"/>
              <w:bottom w:w="120" w:type="dxa"/>
              <w:right w:w="150" w:type="dxa"/>
            </w:tcMar>
            <w:vAlign w:val="center"/>
            <w:hideMark/>
          </w:tcPr>
          <w:p w14:paraId="04CB463C" w14:textId="77777777" w:rsidR="00EE02E8" w:rsidRPr="00EE02E8" w:rsidRDefault="00EE02E8" w:rsidP="007A0A70">
            <w:pPr>
              <w:spacing w:after="0" w:line="240" w:lineRule="auto"/>
              <w:jc w:val="center"/>
              <w:rPr>
                <w:rFonts w:ascii="Arial" w:eastAsia="Times New Roman" w:hAnsi="Arial" w:cs="Arial"/>
              </w:rPr>
            </w:pPr>
            <w:r w:rsidRPr="00EE02E8">
              <w:rPr>
                <w:rFonts w:ascii="Arial" w:eastAsia="Times New Roman" w:hAnsi="Arial" w:cs="Arial"/>
              </w:rPr>
              <w:t>2</w:t>
            </w:r>
          </w:p>
        </w:tc>
        <w:tc>
          <w:tcPr>
            <w:tcW w:w="3672" w:type="pct"/>
            <w:shd w:val="clear" w:color="auto" w:fill="F8F5F0"/>
            <w:tcMar>
              <w:top w:w="120" w:type="dxa"/>
              <w:left w:w="150" w:type="dxa"/>
              <w:bottom w:w="120" w:type="dxa"/>
              <w:right w:w="150" w:type="dxa"/>
            </w:tcMar>
            <w:hideMark/>
          </w:tcPr>
          <w:p w14:paraId="0552262C" w14:textId="77777777" w:rsidR="00EE02E8" w:rsidRPr="00EE02E8" w:rsidRDefault="00EE02E8" w:rsidP="007A0A70">
            <w:pPr>
              <w:spacing w:after="0" w:line="240" w:lineRule="auto"/>
              <w:rPr>
                <w:rFonts w:ascii="Arial" w:eastAsia="Times New Roman" w:hAnsi="Arial" w:cs="Arial"/>
              </w:rPr>
            </w:pPr>
            <w:r w:rsidRPr="00EE02E8">
              <w:rPr>
                <w:rFonts w:ascii="Arial" w:eastAsia="Times New Roman" w:hAnsi="Arial" w:cs="Arial"/>
              </w:rPr>
              <w:t>50 – 74%</w:t>
            </w:r>
          </w:p>
        </w:tc>
      </w:tr>
      <w:tr w:rsidR="00EE02E8" w:rsidRPr="00EE02E8" w14:paraId="008266CC" w14:textId="77777777" w:rsidTr="007A0A70">
        <w:trPr>
          <w:trHeight w:val="246"/>
          <w:tblCellSpacing w:w="15" w:type="dxa"/>
        </w:trPr>
        <w:tc>
          <w:tcPr>
            <w:tcW w:w="1279" w:type="pct"/>
            <w:shd w:val="clear" w:color="auto" w:fill="FFFFFF"/>
            <w:tcMar>
              <w:top w:w="120" w:type="dxa"/>
              <w:left w:w="150" w:type="dxa"/>
              <w:bottom w:w="120" w:type="dxa"/>
              <w:right w:w="150" w:type="dxa"/>
            </w:tcMar>
            <w:vAlign w:val="center"/>
            <w:hideMark/>
          </w:tcPr>
          <w:p w14:paraId="78EDD6C6" w14:textId="77777777" w:rsidR="00EE02E8" w:rsidRPr="00EE02E8" w:rsidRDefault="00EE02E8" w:rsidP="007A0A70">
            <w:pPr>
              <w:spacing w:after="0" w:line="240" w:lineRule="auto"/>
              <w:jc w:val="center"/>
              <w:rPr>
                <w:rFonts w:ascii="Arial" w:eastAsia="Times New Roman" w:hAnsi="Arial" w:cs="Arial"/>
              </w:rPr>
            </w:pPr>
            <w:r w:rsidRPr="00EE02E8">
              <w:rPr>
                <w:rFonts w:ascii="Arial" w:eastAsia="Times New Roman" w:hAnsi="Arial" w:cs="Arial"/>
              </w:rPr>
              <w:t>1</w:t>
            </w:r>
          </w:p>
        </w:tc>
        <w:tc>
          <w:tcPr>
            <w:tcW w:w="3672" w:type="pct"/>
            <w:shd w:val="clear" w:color="auto" w:fill="FFFFFF"/>
            <w:tcMar>
              <w:top w:w="120" w:type="dxa"/>
              <w:left w:w="150" w:type="dxa"/>
              <w:bottom w:w="120" w:type="dxa"/>
              <w:right w:w="150" w:type="dxa"/>
            </w:tcMar>
            <w:hideMark/>
          </w:tcPr>
          <w:p w14:paraId="57555A9F" w14:textId="77777777" w:rsidR="00EE02E8" w:rsidRPr="00EE02E8" w:rsidRDefault="00EE02E8" w:rsidP="007A0A70">
            <w:pPr>
              <w:spacing w:after="0" w:line="240" w:lineRule="auto"/>
              <w:rPr>
                <w:rFonts w:ascii="Arial" w:eastAsia="Times New Roman" w:hAnsi="Arial" w:cs="Arial"/>
              </w:rPr>
            </w:pPr>
            <w:r w:rsidRPr="00EE02E8">
              <w:rPr>
                <w:rFonts w:ascii="Arial" w:eastAsia="Times New Roman" w:hAnsi="Arial" w:cs="Arial"/>
              </w:rPr>
              <w:t>0 – 49%</w:t>
            </w:r>
          </w:p>
        </w:tc>
      </w:tr>
      <w:tr w:rsidR="00EE02E8" w:rsidRPr="00EE02E8" w14:paraId="73F58892" w14:textId="77777777" w:rsidTr="007A0A70">
        <w:trPr>
          <w:trHeight w:val="327"/>
          <w:tblCellSpacing w:w="15" w:type="dxa"/>
        </w:trPr>
        <w:tc>
          <w:tcPr>
            <w:tcW w:w="1279" w:type="pct"/>
            <w:shd w:val="clear" w:color="auto" w:fill="F8F5F0"/>
            <w:tcMar>
              <w:top w:w="120" w:type="dxa"/>
              <w:left w:w="150" w:type="dxa"/>
              <w:bottom w:w="120" w:type="dxa"/>
              <w:right w:w="150" w:type="dxa"/>
            </w:tcMar>
            <w:vAlign w:val="center"/>
            <w:hideMark/>
          </w:tcPr>
          <w:p w14:paraId="25AE5C34" w14:textId="77777777" w:rsidR="00EE02E8" w:rsidRPr="00EE02E8" w:rsidRDefault="00EE02E8" w:rsidP="007A0A70">
            <w:pPr>
              <w:spacing w:after="0" w:line="240" w:lineRule="auto"/>
              <w:jc w:val="center"/>
              <w:rPr>
                <w:rFonts w:ascii="Arial" w:eastAsia="Times New Roman" w:hAnsi="Arial" w:cs="Arial"/>
              </w:rPr>
            </w:pPr>
            <w:r w:rsidRPr="00EE02E8">
              <w:rPr>
                <w:rFonts w:ascii="Arial" w:eastAsia="Times New Roman" w:hAnsi="Arial" w:cs="Arial"/>
              </w:rPr>
              <w:t>NR</w:t>
            </w:r>
          </w:p>
        </w:tc>
        <w:tc>
          <w:tcPr>
            <w:tcW w:w="3672" w:type="pct"/>
            <w:shd w:val="clear" w:color="auto" w:fill="F8F5F0"/>
            <w:tcMar>
              <w:top w:w="120" w:type="dxa"/>
              <w:left w:w="150" w:type="dxa"/>
              <w:bottom w:w="120" w:type="dxa"/>
              <w:right w:w="150" w:type="dxa"/>
            </w:tcMar>
            <w:hideMark/>
          </w:tcPr>
          <w:p w14:paraId="2D14044B" w14:textId="7210F514" w:rsidR="00EE02E8" w:rsidRPr="00EE02E8" w:rsidRDefault="00EE02E8" w:rsidP="007A0A70">
            <w:pPr>
              <w:spacing w:after="0" w:line="240" w:lineRule="auto"/>
              <w:rPr>
                <w:rFonts w:ascii="Arial" w:eastAsia="Times New Roman" w:hAnsi="Arial" w:cs="Arial"/>
              </w:rPr>
            </w:pPr>
            <w:r w:rsidRPr="00EE02E8">
              <w:rPr>
                <w:rFonts w:ascii="Arial" w:eastAsia="Times New Roman" w:hAnsi="Arial" w:cs="Arial"/>
              </w:rPr>
              <w:t>0 students with disabilities of transition age enrolled in </w:t>
            </w:r>
            <w:r w:rsidR="00C7294A">
              <w:rPr>
                <w:rFonts w:ascii="Arial" w:eastAsia="Times New Roman" w:hAnsi="Arial" w:cs="Arial"/>
              </w:rPr>
              <w:t>201</w:t>
            </w:r>
            <w:r w:rsidR="005E1909">
              <w:rPr>
                <w:rFonts w:ascii="Arial" w:eastAsia="Times New Roman" w:hAnsi="Arial" w:cs="Arial"/>
              </w:rPr>
              <w:t>9</w:t>
            </w:r>
            <w:r w:rsidR="00C7294A">
              <w:rPr>
                <w:rFonts w:ascii="Arial" w:eastAsia="Times New Roman" w:hAnsi="Arial" w:cs="Arial"/>
              </w:rPr>
              <w:t>-20</w:t>
            </w:r>
            <w:r w:rsidR="005E1909">
              <w:rPr>
                <w:rFonts w:ascii="Arial" w:eastAsia="Times New Roman" w:hAnsi="Arial" w:cs="Arial"/>
              </w:rPr>
              <w:t>20</w:t>
            </w:r>
          </w:p>
        </w:tc>
      </w:tr>
    </w:tbl>
    <w:p w14:paraId="2D8550FF" w14:textId="77777777" w:rsidR="00EE02E8" w:rsidRDefault="00EE02E8" w:rsidP="007A0A70">
      <w:pPr>
        <w:spacing w:before="120" w:after="120" w:line="240" w:lineRule="auto"/>
        <w:rPr>
          <w:rFonts w:ascii="Arial" w:hAnsi="Arial" w:cs="Arial"/>
          <w:b/>
        </w:rPr>
      </w:pPr>
    </w:p>
    <w:p w14:paraId="6E8123EC" w14:textId="77777777" w:rsidR="00EE02E8" w:rsidRDefault="00EE02E8" w:rsidP="007A0A70">
      <w:pPr>
        <w:spacing w:before="120" w:after="120" w:line="240" w:lineRule="auto"/>
        <w:rPr>
          <w:rFonts w:ascii="Arial" w:hAnsi="Arial" w:cs="Arial"/>
          <w:b/>
        </w:rPr>
      </w:pPr>
    </w:p>
    <w:p w14:paraId="58DFE281" w14:textId="77777777" w:rsidR="003F5301" w:rsidRDefault="003F5301" w:rsidP="007A0A70">
      <w:pPr>
        <w:spacing w:before="120" w:after="120" w:line="240" w:lineRule="auto"/>
        <w:rPr>
          <w:rFonts w:ascii="Arial" w:eastAsia="Times New Roman" w:hAnsi="Arial" w:cs="Arial"/>
          <w:b/>
          <w:bCs/>
        </w:rPr>
      </w:pPr>
      <w:r>
        <w:rPr>
          <w:rFonts w:ascii="Arial" w:eastAsia="Times New Roman" w:hAnsi="Arial" w:cs="Arial"/>
          <w:b/>
          <w:bCs/>
        </w:rPr>
        <w:br w:type="page"/>
      </w:r>
    </w:p>
    <w:p w14:paraId="6B4BF40A" w14:textId="72DE6544" w:rsidR="009B386A" w:rsidRPr="009B386A" w:rsidRDefault="006B64A4" w:rsidP="007A0A70">
      <w:pPr>
        <w:shd w:val="clear" w:color="auto" w:fill="FFFFFF"/>
        <w:spacing w:before="120" w:after="120" w:line="240" w:lineRule="auto"/>
        <w:rPr>
          <w:rFonts w:ascii="Arial" w:eastAsia="Times New Roman" w:hAnsi="Arial" w:cs="Arial"/>
        </w:rPr>
      </w:pPr>
      <w:r>
        <w:rPr>
          <w:rFonts w:ascii="Arial" w:eastAsia="Times New Roman" w:hAnsi="Arial" w:cs="Arial"/>
          <w:b/>
          <w:bCs/>
        </w:rPr>
        <w:lastRenderedPageBreak/>
        <w:t xml:space="preserve">Indicator 15: </w:t>
      </w:r>
      <w:r w:rsidR="009B386A" w:rsidRPr="009B386A">
        <w:rPr>
          <w:rFonts w:ascii="Arial" w:eastAsia="Times New Roman" w:hAnsi="Arial" w:cs="Arial"/>
          <w:b/>
          <w:bCs/>
        </w:rPr>
        <w:t>Timely Correction of Noncompliance</w:t>
      </w:r>
    </w:p>
    <w:p w14:paraId="5BDE25A2" w14:textId="77777777" w:rsidR="009B386A" w:rsidRPr="009B386A" w:rsidRDefault="009B386A" w:rsidP="007A0A70">
      <w:pPr>
        <w:shd w:val="clear" w:color="auto" w:fill="FFFFFF"/>
        <w:spacing w:before="120" w:after="120" w:line="240" w:lineRule="auto"/>
        <w:rPr>
          <w:rFonts w:ascii="Arial" w:eastAsia="Times New Roman" w:hAnsi="Arial" w:cs="Arial"/>
        </w:rPr>
      </w:pPr>
      <w:r w:rsidRPr="009B386A">
        <w:rPr>
          <w:rFonts w:ascii="Arial" w:eastAsia="Times New Roman" w:hAnsi="Arial" w:cs="Arial"/>
        </w:rPr>
        <w:t>Target: No late/uncorrected finding</w:t>
      </w:r>
    </w:p>
    <w:tbl>
      <w:tblPr>
        <w:tblW w:w="5000" w:type="pct"/>
        <w:tblCellSpacing w:w="15"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CellMar>
          <w:top w:w="15" w:type="dxa"/>
          <w:left w:w="15" w:type="dxa"/>
          <w:bottom w:w="15" w:type="dxa"/>
          <w:right w:w="15" w:type="dxa"/>
        </w:tblCellMar>
        <w:tblLook w:val="04A0" w:firstRow="1" w:lastRow="0" w:firstColumn="1" w:lastColumn="0" w:noHBand="0" w:noVBand="1"/>
      </w:tblPr>
      <w:tblGrid>
        <w:gridCol w:w="1887"/>
        <w:gridCol w:w="7457"/>
      </w:tblGrid>
      <w:tr w:rsidR="009B386A" w:rsidRPr="009B386A" w14:paraId="7C530DAF" w14:textId="77777777" w:rsidTr="009B386A">
        <w:trPr>
          <w:tblHeader/>
          <w:tblCellSpacing w:w="15" w:type="dxa"/>
        </w:trPr>
        <w:tc>
          <w:tcPr>
            <w:tcW w:w="4968" w:type="pct"/>
            <w:gridSpan w:val="2"/>
            <w:shd w:val="clear" w:color="auto" w:fill="auto"/>
            <w:tcMar>
              <w:top w:w="150" w:type="dxa"/>
              <w:left w:w="270" w:type="dxa"/>
              <w:bottom w:w="150" w:type="dxa"/>
              <w:right w:w="270" w:type="dxa"/>
            </w:tcMar>
            <w:vAlign w:val="bottom"/>
            <w:hideMark/>
          </w:tcPr>
          <w:p w14:paraId="38FA7B25" w14:textId="05537B98" w:rsidR="009B386A" w:rsidRPr="009B386A" w:rsidRDefault="009B386A" w:rsidP="007A0A70">
            <w:pPr>
              <w:spacing w:after="0" w:line="240" w:lineRule="auto"/>
              <w:rPr>
                <w:rFonts w:ascii="Arial" w:eastAsia="Times New Roman" w:hAnsi="Arial" w:cs="Arial"/>
                <w:b/>
                <w:bCs/>
              </w:rPr>
            </w:pPr>
            <w:r w:rsidRPr="009B386A">
              <w:rPr>
                <w:rFonts w:ascii="Arial" w:eastAsia="Times New Roman" w:hAnsi="Arial" w:cs="Arial"/>
                <w:b/>
                <w:bCs/>
              </w:rPr>
              <w:t xml:space="preserve">Identified noncompliance is corrected within the timeline established by the </w:t>
            </w:r>
            <w:r w:rsidR="00134047">
              <w:rPr>
                <w:rFonts w:ascii="Arial" w:eastAsia="Times New Roman" w:hAnsi="Arial" w:cs="Arial"/>
                <w:b/>
                <w:bCs/>
              </w:rPr>
              <w:t>D</w:t>
            </w:r>
            <w:r w:rsidRPr="009B386A">
              <w:rPr>
                <w:rFonts w:ascii="Arial" w:eastAsia="Times New Roman" w:hAnsi="Arial" w:cs="Arial"/>
                <w:b/>
                <w:bCs/>
              </w:rPr>
              <w:t>epartment.</w:t>
            </w:r>
          </w:p>
        </w:tc>
      </w:tr>
      <w:tr w:rsidR="009B386A" w:rsidRPr="009B386A" w14:paraId="1668CB96" w14:textId="77777777" w:rsidTr="007A0A70">
        <w:trPr>
          <w:tblCellSpacing w:w="15" w:type="dxa"/>
        </w:trPr>
        <w:tc>
          <w:tcPr>
            <w:tcW w:w="989" w:type="pct"/>
            <w:shd w:val="clear" w:color="auto" w:fill="FFFFFF"/>
            <w:tcMar>
              <w:top w:w="120" w:type="dxa"/>
              <w:left w:w="150" w:type="dxa"/>
              <w:bottom w:w="120" w:type="dxa"/>
              <w:right w:w="150" w:type="dxa"/>
            </w:tcMar>
            <w:hideMark/>
          </w:tcPr>
          <w:p w14:paraId="1940EB36" w14:textId="77777777" w:rsidR="009B386A" w:rsidRPr="009B386A" w:rsidRDefault="009B386A" w:rsidP="007A0A70">
            <w:pPr>
              <w:spacing w:after="0" w:line="240" w:lineRule="auto"/>
              <w:rPr>
                <w:rFonts w:ascii="Arial" w:eastAsia="Times New Roman" w:hAnsi="Arial" w:cs="Arial"/>
              </w:rPr>
            </w:pPr>
            <w:r w:rsidRPr="009B386A">
              <w:rPr>
                <w:rFonts w:ascii="Arial" w:eastAsia="Times New Roman" w:hAnsi="Arial" w:cs="Arial"/>
                <w:b/>
                <w:bCs/>
              </w:rPr>
              <w:t>Data Source</w:t>
            </w:r>
          </w:p>
        </w:tc>
        <w:tc>
          <w:tcPr>
            <w:tcW w:w="3962" w:type="pct"/>
            <w:shd w:val="clear" w:color="auto" w:fill="FFFFFF"/>
            <w:tcMar>
              <w:top w:w="120" w:type="dxa"/>
              <w:left w:w="150" w:type="dxa"/>
              <w:bottom w:w="120" w:type="dxa"/>
              <w:right w:w="150" w:type="dxa"/>
            </w:tcMar>
            <w:hideMark/>
          </w:tcPr>
          <w:p w14:paraId="6A8C3B2D" w14:textId="77777777" w:rsidR="009B386A" w:rsidRPr="009B386A" w:rsidRDefault="009B386A" w:rsidP="007A0A70">
            <w:pPr>
              <w:spacing w:after="0" w:line="240" w:lineRule="auto"/>
              <w:rPr>
                <w:rFonts w:ascii="Arial" w:eastAsia="Times New Roman" w:hAnsi="Arial" w:cs="Arial"/>
              </w:rPr>
            </w:pPr>
            <w:r w:rsidRPr="009B386A">
              <w:rPr>
                <w:rFonts w:ascii="Arial" w:eastAsia="Times New Roman" w:hAnsi="Arial" w:cs="Arial"/>
              </w:rPr>
              <w:t>Findings of noncompliance identified from:</w:t>
            </w:r>
          </w:p>
          <w:p w14:paraId="20C70EE8" w14:textId="77777777" w:rsidR="009B386A" w:rsidRPr="009B386A" w:rsidRDefault="009B386A" w:rsidP="007A0A70">
            <w:pPr>
              <w:numPr>
                <w:ilvl w:val="0"/>
                <w:numId w:val="8"/>
              </w:numPr>
              <w:tabs>
                <w:tab w:val="clear" w:pos="720"/>
              </w:tabs>
              <w:spacing w:after="0" w:line="240" w:lineRule="auto"/>
              <w:ind w:left="345" w:hanging="345"/>
              <w:rPr>
                <w:rFonts w:ascii="Arial" w:eastAsia="Times New Roman" w:hAnsi="Arial" w:cs="Arial"/>
              </w:rPr>
            </w:pPr>
            <w:r w:rsidRPr="009B386A">
              <w:rPr>
                <w:rFonts w:ascii="Arial" w:eastAsia="Times New Roman" w:hAnsi="Arial" w:cs="Arial"/>
              </w:rPr>
              <w:t xml:space="preserve">IDEA </w:t>
            </w:r>
            <w:proofErr w:type="gramStart"/>
            <w:r w:rsidRPr="009B386A">
              <w:rPr>
                <w:rFonts w:ascii="Arial" w:eastAsia="Times New Roman" w:hAnsi="Arial" w:cs="Arial"/>
              </w:rPr>
              <w:t>monitoring;</w:t>
            </w:r>
            <w:proofErr w:type="gramEnd"/>
          </w:p>
          <w:p w14:paraId="0F93A0CB" w14:textId="77777777" w:rsidR="009B386A" w:rsidRPr="009B386A" w:rsidRDefault="009B386A" w:rsidP="007A0A70">
            <w:pPr>
              <w:numPr>
                <w:ilvl w:val="0"/>
                <w:numId w:val="8"/>
              </w:numPr>
              <w:tabs>
                <w:tab w:val="clear" w:pos="720"/>
              </w:tabs>
              <w:spacing w:after="0" w:line="240" w:lineRule="auto"/>
              <w:ind w:left="345" w:hanging="345"/>
              <w:rPr>
                <w:rFonts w:ascii="Arial" w:eastAsia="Times New Roman" w:hAnsi="Arial" w:cs="Arial"/>
              </w:rPr>
            </w:pPr>
            <w:r w:rsidRPr="009B386A">
              <w:rPr>
                <w:rFonts w:ascii="Arial" w:eastAsia="Times New Roman" w:hAnsi="Arial" w:cs="Arial"/>
              </w:rPr>
              <w:t>Indicator monitoring (Indicators 4, 9, 10, 11, 12 and 13</w:t>
            </w:r>
            <w:proofErr w:type="gramStart"/>
            <w:r w:rsidRPr="009B386A">
              <w:rPr>
                <w:rFonts w:ascii="Arial" w:eastAsia="Times New Roman" w:hAnsi="Arial" w:cs="Arial"/>
              </w:rPr>
              <w:t>);</w:t>
            </w:r>
            <w:proofErr w:type="gramEnd"/>
          </w:p>
          <w:p w14:paraId="2D8C3C4D" w14:textId="77777777" w:rsidR="009B386A" w:rsidRPr="009B386A" w:rsidRDefault="009B386A" w:rsidP="007A0A70">
            <w:pPr>
              <w:numPr>
                <w:ilvl w:val="0"/>
                <w:numId w:val="8"/>
              </w:numPr>
              <w:tabs>
                <w:tab w:val="clear" w:pos="720"/>
              </w:tabs>
              <w:spacing w:after="0" w:line="240" w:lineRule="auto"/>
              <w:ind w:left="345" w:hanging="345"/>
              <w:rPr>
                <w:rFonts w:ascii="Arial" w:eastAsia="Times New Roman" w:hAnsi="Arial" w:cs="Arial"/>
              </w:rPr>
            </w:pPr>
            <w:r w:rsidRPr="009B386A">
              <w:rPr>
                <w:rFonts w:ascii="Arial" w:eastAsia="Times New Roman" w:hAnsi="Arial" w:cs="Arial"/>
              </w:rPr>
              <w:t xml:space="preserve">Fiscal </w:t>
            </w:r>
            <w:proofErr w:type="gramStart"/>
            <w:r w:rsidRPr="009B386A">
              <w:rPr>
                <w:rFonts w:ascii="Arial" w:eastAsia="Times New Roman" w:hAnsi="Arial" w:cs="Arial"/>
              </w:rPr>
              <w:t>reviews;</w:t>
            </w:r>
            <w:proofErr w:type="gramEnd"/>
          </w:p>
          <w:p w14:paraId="77F2246B" w14:textId="77777777" w:rsidR="009B386A" w:rsidRPr="009B386A" w:rsidRDefault="009B386A" w:rsidP="007A0A70">
            <w:pPr>
              <w:numPr>
                <w:ilvl w:val="0"/>
                <w:numId w:val="8"/>
              </w:numPr>
              <w:tabs>
                <w:tab w:val="clear" w:pos="720"/>
              </w:tabs>
              <w:spacing w:after="0" w:line="240" w:lineRule="auto"/>
              <w:ind w:left="345" w:hanging="345"/>
              <w:rPr>
                <w:rFonts w:ascii="Arial" w:eastAsia="Times New Roman" w:hAnsi="Arial" w:cs="Arial"/>
              </w:rPr>
            </w:pPr>
            <w:r w:rsidRPr="009B386A">
              <w:rPr>
                <w:rFonts w:ascii="Arial" w:eastAsia="Times New Roman" w:hAnsi="Arial" w:cs="Arial"/>
              </w:rPr>
              <w:t xml:space="preserve">Selective </w:t>
            </w:r>
            <w:proofErr w:type="gramStart"/>
            <w:r w:rsidRPr="009B386A">
              <w:rPr>
                <w:rFonts w:ascii="Arial" w:eastAsia="Times New Roman" w:hAnsi="Arial" w:cs="Arial"/>
              </w:rPr>
              <w:t>reviews;</w:t>
            </w:r>
            <w:proofErr w:type="gramEnd"/>
          </w:p>
          <w:p w14:paraId="1F6C23E5" w14:textId="77777777" w:rsidR="009B386A" w:rsidRPr="009B386A" w:rsidRDefault="009B386A" w:rsidP="007A0A70">
            <w:pPr>
              <w:numPr>
                <w:ilvl w:val="0"/>
                <w:numId w:val="8"/>
              </w:numPr>
              <w:tabs>
                <w:tab w:val="clear" w:pos="720"/>
              </w:tabs>
              <w:spacing w:after="0" w:line="240" w:lineRule="auto"/>
              <w:ind w:left="345" w:hanging="345"/>
              <w:rPr>
                <w:rFonts w:ascii="Arial" w:eastAsia="Times New Roman" w:hAnsi="Arial" w:cs="Arial"/>
              </w:rPr>
            </w:pPr>
            <w:r w:rsidRPr="009B386A">
              <w:rPr>
                <w:rFonts w:ascii="Arial" w:eastAsia="Times New Roman" w:hAnsi="Arial" w:cs="Arial"/>
              </w:rPr>
              <w:t>Complaints; and</w:t>
            </w:r>
          </w:p>
          <w:p w14:paraId="12A9C7F5" w14:textId="77777777" w:rsidR="009B386A" w:rsidRPr="009B386A" w:rsidRDefault="009B386A" w:rsidP="007A0A70">
            <w:pPr>
              <w:numPr>
                <w:ilvl w:val="0"/>
                <w:numId w:val="8"/>
              </w:numPr>
              <w:tabs>
                <w:tab w:val="clear" w:pos="720"/>
              </w:tabs>
              <w:spacing w:after="0" w:line="240" w:lineRule="auto"/>
              <w:ind w:left="345" w:hanging="345"/>
              <w:rPr>
                <w:rFonts w:ascii="Arial" w:eastAsia="Times New Roman" w:hAnsi="Arial" w:cs="Arial"/>
              </w:rPr>
            </w:pPr>
            <w:r w:rsidRPr="009B386A">
              <w:rPr>
                <w:rFonts w:ascii="Arial" w:eastAsia="Times New Roman" w:hAnsi="Arial" w:cs="Arial"/>
              </w:rPr>
              <w:t>Due process hearings.</w:t>
            </w:r>
          </w:p>
        </w:tc>
      </w:tr>
      <w:tr w:rsidR="009B386A" w:rsidRPr="009B386A" w14:paraId="39524AD2" w14:textId="77777777" w:rsidTr="007A0A70">
        <w:trPr>
          <w:tblCellSpacing w:w="15" w:type="dxa"/>
        </w:trPr>
        <w:tc>
          <w:tcPr>
            <w:tcW w:w="989" w:type="pct"/>
            <w:shd w:val="clear" w:color="auto" w:fill="FFFFFF"/>
            <w:tcMar>
              <w:top w:w="120" w:type="dxa"/>
              <w:left w:w="150" w:type="dxa"/>
              <w:bottom w:w="120" w:type="dxa"/>
              <w:right w:w="150" w:type="dxa"/>
            </w:tcMar>
            <w:hideMark/>
          </w:tcPr>
          <w:p w14:paraId="4D56FB34" w14:textId="77777777" w:rsidR="009B386A" w:rsidRPr="009B386A" w:rsidRDefault="009B386A" w:rsidP="007A0A70">
            <w:pPr>
              <w:spacing w:after="0" w:line="240" w:lineRule="auto"/>
              <w:rPr>
                <w:rFonts w:ascii="Arial" w:eastAsia="Times New Roman" w:hAnsi="Arial" w:cs="Arial"/>
              </w:rPr>
            </w:pPr>
            <w:r w:rsidRPr="009B386A">
              <w:rPr>
                <w:rFonts w:ascii="Arial" w:eastAsia="Times New Roman" w:hAnsi="Arial" w:cs="Arial"/>
                <w:b/>
                <w:bCs/>
              </w:rPr>
              <w:t>Notes</w:t>
            </w:r>
          </w:p>
        </w:tc>
        <w:tc>
          <w:tcPr>
            <w:tcW w:w="3962" w:type="pct"/>
            <w:shd w:val="clear" w:color="auto" w:fill="FFFFFF"/>
            <w:tcMar>
              <w:top w:w="120" w:type="dxa"/>
              <w:left w:w="150" w:type="dxa"/>
              <w:bottom w:w="120" w:type="dxa"/>
              <w:right w:w="150" w:type="dxa"/>
            </w:tcMar>
            <w:hideMark/>
          </w:tcPr>
          <w:p w14:paraId="1CEFDF32" w14:textId="537E9DF4" w:rsidR="009B386A" w:rsidRPr="009B386A" w:rsidRDefault="009B386A" w:rsidP="007A0A70">
            <w:pPr>
              <w:spacing w:after="0" w:line="240" w:lineRule="auto"/>
              <w:rPr>
                <w:rFonts w:ascii="Arial" w:eastAsia="Times New Roman" w:hAnsi="Arial" w:cs="Arial"/>
              </w:rPr>
            </w:pPr>
            <w:r w:rsidRPr="009B386A">
              <w:rPr>
                <w:rFonts w:ascii="Arial" w:eastAsia="Times New Roman" w:hAnsi="Arial" w:cs="Arial"/>
              </w:rPr>
              <w:t>Specific to findings made in </w:t>
            </w:r>
            <w:r w:rsidR="006C13E8">
              <w:rPr>
                <w:rFonts w:ascii="Arial" w:eastAsia="Times New Roman" w:hAnsi="Arial" w:cs="Arial"/>
                <w:i/>
                <w:iCs/>
              </w:rPr>
              <w:t>201</w:t>
            </w:r>
            <w:r w:rsidR="005E1909">
              <w:rPr>
                <w:rFonts w:ascii="Arial" w:eastAsia="Times New Roman" w:hAnsi="Arial" w:cs="Arial"/>
                <w:i/>
                <w:iCs/>
              </w:rPr>
              <w:t>8</w:t>
            </w:r>
            <w:r w:rsidR="006C13E8">
              <w:rPr>
                <w:rFonts w:ascii="Arial" w:eastAsia="Times New Roman" w:hAnsi="Arial" w:cs="Arial"/>
                <w:i/>
                <w:iCs/>
              </w:rPr>
              <w:t>-201</w:t>
            </w:r>
            <w:r w:rsidR="005E1909">
              <w:rPr>
                <w:rFonts w:ascii="Arial" w:eastAsia="Times New Roman" w:hAnsi="Arial" w:cs="Arial"/>
                <w:i/>
                <w:iCs/>
              </w:rPr>
              <w:t>9</w:t>
            </w:r>
            <w:r w:rsidRPr="009B386A">
              <w:rPr>
                <w:rFonts w:ascii="Arial" w:eastAsia="Times New Roman" w:hAnsi="Arial" w:cs="Arial"/>
              </w:rPr>
              <w:t> and due for correction in </w:t>
            </w:r>
            <w:r w:rsidR="00C7294A">
              <w:rPr>
                <w:rFonts w:ascii="Arial" w:eastAsia="Times New Roman" w:hAnsi="Arial" w:cs="Arial"/>
                <w:i/>
              </w:rPr>
              <w:t>201</w:t>
            </w:r>
            <w:r w:rsidR="005E1909">
              <w:rPr>
                <w:rFonts w:ascii="Arial" w:eastAsia="Times New Roman" w:hAnsi="Arial" w:cs="Arial"/>
                <w:i/>
              </w:rPr>
              <w:t>9</w:t>
            </w:r>
            <w:r w:rsidR="00C7294A">
              <w:rPr>
                <w:rFonts w:ascii="Arial" w:eastAsia="Times New Roman" w:hAnsi="Arial" w:cs="Arial"/>
                <w:i/>
              </w:rPr>
              <w:t>-20</w:t>
            </w:r>
            <w:r w:rsidR="005E1909">
              <w:rPr>
                <w:rFonts w:ascii="Arial" w:eastAsia="Times New Roman" w:hAnsi="Arial" w:cs="Arial"/>
                <w:i/>
              </w:rPr>
              <w:t>20</w:t>
            </w:r>
            <w:r w:rsidRPr="009B386A">
              <w:rPr>
                <w:rFonts w:ascii="Arial" w:eastAsia="Times New Roman" w:hAnsi="Arial" w:cs="Arial"/>
              </w:rPr>
              <w:t>.</w:t>
            </w:r>
          </w:p>
        </w:tc>
      </w:tr>
      <w:tr w:rsidR="009B386A" w:rsidRPr="009B386A" w14:paraId="701849CF" w14:textId="77777777" w:rsidTr="00652885">
        <w:trPr>
          <w:tblHeader/>
          <w:tblCellSpacing w:w="15" w:type="dxa"/>
        </w:trPr>
        <w:tc>
          <w:tcPr>
            <w:tcW w:w="989" w:type="pct"/>
            <w:shd w:val="clear" w:color="auto" w:fill="auto"/>
            <w:tcMar>
              <w:top w:w="150" w:type="dxa"/>
              <w:left w:w="270" w:type="dxa"/>
              <w:bottom w:w="150" w:type="dxa"/>
              <w:right w:w="270" w:type="dxa"/>
            </w:tcMar>
            <w:vAlign w:val="center"/>
            <w:hideMark/>
          </w:tcPr>
          <w:p w14:paraId="04036548" w14:textId="236BCF88" w:rsidR="009B386A" w:rsidRPr="009B386A" w:rsidRDefault="00845D3F" w:rsidP="007A0A70">
            <w:pPr>
              <w:spacing w:after="0" w:line="240" w:lineRule="auto"/>
              <w:jc w:val="center"/>
              <w:rPr>
                <w:rFonts w:ascii="Arial" w:eastAsia="Times New Roman" w:hAnsi="Arial" w:cs="Arial"/>
                <w:b/>
                <w:bCs/>
              </w:rPr>
            </w:pPr>
            <w:r>
              <w:rPr>
                <w:rFonts w:ascii="Arial" w:eastAsia="Times New Roman" w:hAnsi="Arial" w:cs="Arial"/>
                <w:b/>
                <w:bCs/>
              </w:rPr>
              <w:t>Indicator 1</w:t>
            </w:r>
            <w:r w:rsidR="00D53219">
              <w:rPr>
                <w:rFonts w:ascii="Arial" w:eastAsia="Times New Roman" w:hAnsi="Arial" w:cs="Arial"/>
                <w:b/>
                <w:bCs/>
              </w:rPr>
              <w:t>5</w:t>
            </w:r>
            <w:r w:rsidR="009B386A" w:rsidRPr="009B386A">
              <w:rPr>
                <w:rFonts w:ascii="Arial" w:eastAsia="Times New Roman" w:hAnsi="Arial" w:cs="Arial"/>
                <w:b/>
                <w:bCs/>
              </w:rPr>
              <w:t xml:space="preserve"> Points</w:t>
            </w:r>
          </w:p>
        </w:tc>
        <w:tc>
          <w:tcPr>
            <w:tcW w:w="3962" w:type="pct"/>
            <w:shd w:val="clear" w:color="auto" w:fill="auto"/>
            <w:tcMar>
              <w:top w:w="150" w:type="dxa"/>
              <w:left w:w="270" w:type="dxa"/>
              <w:bottom w:w="150" w:type="dxa"/>
              <w:right w:w="270" w:type="dxa"/>
            </w:tcMar>
            <w:vAlign w:val="center"/>
            <w:hideMark/>
          </w:tcPr>
          <w:p w14:paraId="11511ED3" w14:textId="77777777" w:rsidR="009B386A" w:rsidRPr="009B386A" w:rsidRDefault="009B386A" w:rsidP="007A0A70">
            <w:pPr>
              <w:spacing w:after="0" w:line="240" w:lineRule="auto"/>
              <w:rPr>
                <w:rFonts w:ascii="Arial" w:eastAsia="Times New Roman" w:hAnsi="Arial" w:cs="Arial"/>
                <w:b/>
                <w:bCs/>
              </w:rPr>
            </w:pPr>
            <w:r w:rsidRPr="009B386A">
              <w:rPr>
                <w:rFonts w:ascii="Arial" w:eastAsia="Times New Roman" w:hAnsi="Arial" w:cs="Arial"/>
                <w:b/>
                <w:bCs/>
              </w:rPr>
              <w:t>Criteria</w:t>
            </w:r>
          </w:p>
        </w:tc>
      </w:tr>
      <w:tr w:rsidR="009B386A" w:rsidRPr="009B386A" w14:paraId="4C12CBEA" w14:textId="77777777" w:rsidTr="007A0A70">
        <w:trPr>
          <w:tblCellSpacing w:w="15" w:type="dxa"/>
        </w:trPr>
        <w:tc>
          <w:tcPr>
            <w:tcW w:w="989" w:type="pct"/>
            <w:shd w:val="clear" w:color="auto" w:fill="F8F5F0"/>
            <w:tcMar>
              <w:top w:w="120" w:type="dxa"/>
              <w:left w:w="150" w:type="dxa"/>
              <w:bottom w:w="120" w:type="dxa"/>
              <w:right w:w="150" w:type="dxa"/>
            </w:tcMar>
            <w:vAlign w:val="center"/>
            <w:hideMark/>
          </w:tcPr>
          <w:p w14:paraId="6ED47D23" w14:textId="77777777" w:rsidR="009B386A" w:rsidRPr="009B386A" w:rsidRDefault="009B386A" w:rsidP="007A0A70">
            <w:pPr>
              <w:spacing w:after="0" w:line="240" w:lineRule="auto"/>
              <w:jc w:val="center"/>
              <w:rPr>
                <w:rFonts w:ascii="Arial" w:eastAsia="Times New Roman" w:hAnsi="Arial" w:cs="Arial"/>
              </w:rPr>
            </w:pPr>
            <w:r w:rsidRPr="009B386A">
              <w:rPr>
                <w:rFonts w:ascii="Arial" w:eastAsia="Times New Roman" w:hAnsi="Arial" w:cs="Arial"/>
              </w:rPr>
              <w:t>4</w:t>
            </w:r>
          </w:p>
        </w:tc>
        <w:tc>
          <w:tcPr>
            <w:tcW w:w="3962" w:type="pct"/>
            <w:shd w:val="clear" w:color="auto" w:fill="F8F5F0"/>
            <w:tcMar>
              <w:top w:w="120" w:type="dxa"/>
              <w:left w:w="150" w:type="dxa"/>
              <w:bottom w:w="120" w:type="dxa"/>
              <w:right w:w="150" w:type="dxa"/>
            </w:tcMar>
            <w:hideMark/>
          </w:tcPr>
          <w:p w14:paraId="68D19A21" w14:textId="77777777" w:rsidR="009B386A" w:rsidRPr="009B386A" w:rsidRDefault="009B386A" w:rsidP="007A0A70">
            <w:pPr>
              <w:spacing w:after="0" w:line="240" w:lineRule="auto"/>
              <w:rPr>
                <w:rFonts w:ascii="Arial" w:eastAsia="Times New Roman" w:hAnsi="Arial" w:cs="Arial"/>
              </w:rPr>
            </w:pPr>
            <w:r w:rsidRPr="009B386A">
              <w:rPr>
                <w:rFonts w:ascii="Arial" w:eastAsia="Times New Roman" w:hAnsi="Arial" w:cs="Arial"/>
              </w:rPr>
              <w:t>District corrected all identified noncompliance within timelines (or did not receive a finding of noncompliance).</w:t>
            </w:r>
          </w:p>
        </w:tc>
      </w:tr>
      <w:tr w:rsidR="009B386A" w:rsidRPr="009B386A" w14:paraId="489F76DC" w14:textId="77777777" w:rsidTr="007A0A70">
        <w:trPr>
          <w:tblCellSpacing w:w="15" w:type="dxa"/>
        </w:trPr>
        <w:tc>
          <w:tcPr>
            <w:tcW w:w="989" w:type="pct"/>
            <w:shd w:val="clear" w:color="auto" w:fill="FFFFFF"/>
            <w:tcMar>
              <w:top w:w="120" w:type="dxa"/>
              <w:left w:w="150" w:type="dxa"/>
              <w:bottom w:w="120" w:type="dxa"/>
              <w:right w:w="150" w:type="dxa"/>
            </w:tcMar>
            <w:vAlign w:val="center"/>
            <w:hideMark/>
          </w:tcPr>
          <w:p w14:paraId="0825A761" w14:textId="77777777" w:rsidR="009B386A" w:rsidRPr="009B386A" w:rsidRDefault="009B386A" w:rsidP="007A0A70">
            <w:pPr>
              <w:spacing w:after="0" w:line="240" w:lineRule="auto"/>
              <w:jc w:val="center"/>
              <w:rPr>
                <w:rFonts w:ascii="Arial" w:eastAsia="Times New Roman" w:hAnsi="Arial" w:cs="Arial"/>
              </w:rPr>
            </w:pPr>
            <w:r w:rsidRPr="009B386A">
              <w:rPr>
                <w:rFonts w:ascii="Arial" w:eastAsia="Times New Roman" w:hAnsi="Arial" w:cs="Arial"/>
              </w:rPr>
              <w:t>1</w:t>
            </w:r>
          </w:p>
        </w:tc>
        <w:tc>
          <w:tcPr>
            <w:tcW w:w="3962" w:type="pct"/>
            <w:shd w:val="clear" w:color="auto" w:fill="FFFFFF"/>
            <w:tcMar>
              <w:top w:w="120" w:type="dxa"/>
              <w:left w:w="150" w:type="dxa"/>
              <w:bottom w:w="120" w:type="dxa"/>
              <w:right w:w="150" w:type="dxa"/>
            </w:tcMar>
            <w:hideMark/>
          </w:tcPr>
          <w:p w14:paraId="2792DFC6" w14:textId="77777777" w:rsidR="009B386A" w:rsidRPr="009B386A" w:rsidRDefault="009B386A" w:rsidP="007A0A70">
            <w:pPr>
              <w:spacing w:after="0" w:line="240" w:lineRule="auto"/>
              <w:rPr>
                <w:rFonts w:ascii="Arial" w:eastAsia="Times New Roman" w:hAnsi="Arial" w:cs="Arial"/>
              </w:rPr>
            </w:pPr>
            <w:r w:rsidRPr="009B386A">
              <w:rPr>
                <w:rFonts w:ascii="Arial" w:eastAsia="Times New Roman" w:hAnsi="Arial" w:cs="Arial"/>
              </w:rPr>
              <w:t>District did not correct all identified noncompliance within timelines.</w:t>
            </w:r>
          </w:p>
        </w:tc>
      </w:tr>
    </w:tbl>
    <w:p w14:paraId="289FBE26" w14:textId="77777777" w:rsidR="009B386A" w:rsidRPr="006A6333" w:rsidRDefault="009B386A" w:rsidP="007A0A70">
      <w:pPr>
        <w:spacing w:before="120" w:after="120" w:line="240" w:lineRule="auto"/>
        <w:rPr>
          <w:rFonts w:ascii="Arial" w:hAnsi="Arial" w:cs="Arial"/>
          <w:b/>
        </w:rPr>
      </w:pPr>
    </w:p>
    <w:p w14:paraId="134E84AF" w14:textId="77777777" w:rsidR="006A6333" w:rsidRDefault="006A6333" w:rsidP="007A0A70">
      <w:pPr>
        <w:shd w:val="clear" w:color="auto" w:fill="FFFFFF"/>
        <w:spacing w:before="120" w:after="120" w:line="240" w:lineRule="auto"/>
        <w:rPr>
          <w:rFonts w:ascii="Arial" w:eastAsia="Times New Roman" w:hAnsi="Arial" w:cs="Arial"/>
          <w:b/>
          <w:bCs/>
        </w:rPr>
      </w:pPr>
    </w:p>
    <w:p w14:paraId="6DB36306" w14:textId="77777777" w:rsidR="003F5301" w:rsidRDefault="003F5301" w:rsidP="007A0A70">
      <w:pPr>
        <w:spacing w:before="120" w:after="120" w:line="240" w:lineRule="auto"/>
        <w:rPr>
          <w:rFonts w:ascii="Arial" w:eastAsia="Times New Roman" w:hAnsi="Arial" w:cs="Arial"/>
          <w:b/>
          <w:bCs/>
        </w:rPr>
      </w:pPr>
      <w:r>
        <w:rPr>
          <w:rFonts w:ascii="Arial" w:eastAsia="Times New Roman" w:hAnsi="Arial" w:cs="Arial"/>
          <w:b/>
          <w:bCs/>
        </w:rPr>
        <w:br w:type="page"/>
      </w:r>
    </w:p>
    <w:p w14:paraId="4644EEFD" w14:textId="200151FF" w:rsidR="007C4CB5" w:rsidRPr="007C4CB5" w:rsidRDefault="006B64A4" w:rsidP="007A0A70">
      <w:pPr>
        <w:shd w:val="clear" w:color="auto" w:fill="FFFFFF"/>
        <w:spacing w:before="120" w:after="120" w:line="240" w:lineRule="auto"/>
        <w:rPr>
          <w:rFonts w:ascii="Arial" w:eastAsia="Times New Roman" w:hAnsi="Arial" w:cs="Arial"/>
        </w:rPr>
      </w:pPr>
      <w:r>
        <w:rPr>
          <w:rFonts w:ascii="Arial" w:eastAsia="Times New Roman" w:hAnsi="Arial" w:cs="Arial"/>
          <w:b/>
          <w:bCs/>
        </w:rPr>
        <w:lastRenderedPageBreak/>
        <w:t xml:space="preserve">Indicator 20: </w:t>
      </w:r>
      <w:r w:rsidR="007C4CB5" w:rsidRPr="006A6333">
        <w:rPr>
          <w:rFonts w:ascii="Arial" w:eastAsia="Times New Roman" w:hAnsi="Arial" w:cs="Arial"/>
          <w:b/>
          <w:bCs/>
        </w:rPr>
        <w:t>Timely and Accurate Data</w:t>
      </w:r>
    </w:p>
    <w:p w14:paraId="5D912957" w14:textId="77777777" w:rsidR="007C4CB5" w:rsidRPr="007C4CB5" w:rsidRDefault="007C4CB5" w:rsidP="007A0A70">
      <w:pPr>
        <w:shd w:val="clear" w:color="auto" w:fill="FFFFFF"/>
        <w:spacing w:before="120" w:after="120" w:line="240" w:lineRule="auto"/>
        <w:rPr>
          <w:rFonts w:ascii="Arial" w:eastAsia="Times New Roman" w:hAnsi="Arial" w:cs="Arial"/>
        </w:rPr>
      </w:pPr>
      <w:r w:rsidRPr="007C4CB5">
        <w:rPr>
          <w:rFonts w:ascii="Arial" w:eastAsia="Times New Roman" w:hAnsi="Arial" w:cs="Arial"/>
        </w:rPr>
        <w:t>Target: No data issues</w:t>
      </w:r>
    </w:p>
    <w:tbl>
      <w:tblPr>
        <w:tblW w:w="5000" w:type="pct"/>
        <w:tblCellSpacing w:w="15"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CellMar>
          <w:top w:w="15" w:type="dxa"/>
          <w:left w:w="15" w:type="dxa"/>
          <w:bottom w:w="15" w:type="dxa"/>
          <w:right w:w="15" w:type="dxa"/>
        </w:tblCellMar>
        <w:tblLook w:val="04A0" w:firstRow="1" w:lastRow="0" w:firstColumn="1" w:lastColumn="0" w:noHBand="0" w:noVBand="1"/>
      </w:tblPr>
      <w:tblGrid>
        <w:gridCol w:w="1887"/>
        <w:gridCol w:w="7457"/>
      </w:tblGrid>
      <w:tr w:rsidR="006A6333" w:rsidRPr="006A6333" w14:paraId="6618BFF1" w14:textId="77777777" w:rsidTr="006A6333">
        <w:trPr>
          <w:tblHeader/>
          <w:tblCellSpacing w:w="15" w:type="dxa"/>
        </w:trPr>
        <w:tc>
          <w:tcPr>
            <w:tcW w:w="4968" w:type="pct"/>
            <w:gridSpan w:val="2"/>
            <w:shd w:val="clear" w:color="auto" w:fill="auto"/>
            <w:tcMar>
              <w:top w:w="150" w:type="dxa"/>
              <w:left w:w="270" w:type="dxa"/>
              <w:bottom w:w="150" w:type="dxa"/>
              <w:right w:w="270" w:type="dxa"/>
            </w:tcMar>
            <w:vAlign w:val="bottom"/>
            <w:hideMark/>
          </w:tcPr>
          <w:p w14:paraId="04810E93" w14:textId="7A054FAC" w:rsidR="006A6333" w:rsidRPr="006A6333" w:rsidRDefault="006A6333" w:rsidP="007A0A70">
            <w:pPr>
              <w:spacing w:after="0" w:line="240" w:lineRule="auto"/>
              <w:rPr>
                <w:rFonts w:ascii="Arial" w:eastAsia="Times New Roman" w:hAnsi="Arial" w:cs="Arial"/>
                <w:b/>
                <w:bCs/>
              </w:rPr>
            </w:pPr>
            <w:r w:rsidRPr="006A6333">
              <w:rPr>
                <w:rFonts w:ascii="Arial" w:eastAsia="Times New Roman" w:hAnsi="Arial" w:cs="Arial"/>
                <w:b/>
                <w:bCs/>
              </w:rPr>
              <w:t>District-reported data are timely</w:t>
            </w:r>
            <w:r w:rsidR="00823C50">
              <w:rPr>
                <w:rFonts w:ascii="Arial" w:eastAsia="Times New Roman" w:hAnsi="Arial" w:cs="Arial"/>
                <w:b/>
                <w:bCs/>
              </w:rPr>
              <w:t xml:space="preserve"> and accurate</w:t>
            </w:r>
            <w:r w:rsidRPr="006A6333">
              <w:rPr>
                <w:rFonts w:ascii="Arial" w:eastAsia="Times New Roman" w:hAnsi="Arial" w:cs="Arial"/>
                <w:b/>
                <w:bCs/>
              </w:rPr>
              <w:t>.</w:t>
            </w:r>
          </w:p>
        </w:tc>
      </w:tr>
      <w:tr w:rsidR="006A6333" w:rsidRPr="006A6333" w14:paraId="1818163F" w14:textId="77777777" w:rsidTr="006135DF">
        <w:trPr>
          <w:tblCellSpacing w:w="15" w:type="dxa"/>
        </w:trPr>
        <w:tc>
          <w:tcPr>
            <w:tcW w:w="989" w:type="pct"/>
            <w:shd w:val="clear" w:color="auto" w:fill="FFFFFF"/>
            <w:tcMar>
              <w:top w:w="120" w:type="dxa"/>
              <w:left w:w="150" w:type="dxa"/>
              <w:bottom w:w="120" w:type="dxa"/>
              <w:right w:w="150" w:type="dxa"/>
            </w:tcMar>
            <w:hideMark/>
          </w:tcPr>
          <w:p w14:paraId="5E8876A3" w14:textId="77777777" w:rsidR="006A6333" w:rsidRPr="006A6333" w:rsidRDefault="006A6333" w:rsidP="007A0A70">
            <w:pPr>
              <w:spacing w:after="0" w:line="240" w:lineRule="auto"/>
              <w:rPr>
                <w:rFonts w:ascii="Arial" w:eastAsia="Times New Roman" w:hAnsi="Arial" w:cs="Arial"/>
              </w:rPr>
            </w:pPr>
            <w:r w:rsidRPr="006A6333">
              <w:rPr>
                <w:rFonts w:ascii="Arial" w:eastAsia="Times New Roman" w:hAnsi="Arial" w:cs="Arial"/>
                <w:b/>
                <w:bCs/>
              </w:rPr>
              <w:t>Data Source</w:t>
            </w:r>
          </w:p>
        </w:tc>
        <w:tc>
          <w:tcPr>
            <w:tcW w:w="3962" w:type="pct"/>
            <w:shd w:val="clear" w:color="auto" w:fill="FFFFFF"/>
            <w:tcMar>
              <w:top w:w="120" w:type="dxa"/>
              <w:left w:w="150" w:type="dxa"/>
              <w:bottom w:w="120" w:type="dxa"/>
              <w:right w:w="150" w:type="dxa"/>
            </w:tcMar>
            <w:hideMark/>
          </w:tcPr>
          <w:p w14:paraId="343C2F3F" w14:textId="6244DC19" w:rsidR="006A6333" w:rsidRPr="006A6333" w:rsidRDefault="00823C50" w:rsidP="007A0A70">
            <w:pPr>
              <w:spacing w:after="0" w:line="240" w:lineRule="auto"/>
              <w:rPr>
                <w:rFonts w:ascii="Arial" w:eastAsia="Times New Roman" w:hAnsi="Arial" w:cs="Arial"/>
              </w:rPr>
            </w:pPr>
            <w:r>
              <w:rPr>
                <w:rFonts w:ascii="Arial" w:eastAsia="Times New Roman" w:hAnsi="Arial" w:cs="Arial"/>
              </w:rPr>
              <w:t>T</w:t>
            </w:r>
            <w:r w:rsidR="006A6333" w:rsidRPr="006A6333">
              <w:rPr>
                <w:rFonts w:ascii="Arial" w:eastAsia="Times New Roman" w:hAnsi="Arial" w:cs="Arial"/>
              </w:rPr>
              <w:t>imely</w:t>
            </w:r>
            <w:r>
              <w:rPr>
                <w:rFonts w:ascii="Arial" w:eastAsia="Times New Roman" w:hAnsi="Arial" w:cs="Arial"/>
              </w:rPr>
              <w:t xml:space="preserve"> and accurate</w:t>
            </w:r>
            <w:r w:rsidR="006A6333" w:rsidRPr="006A6333">
              <w:rPr>
                <w:rFonts w:ascii="Arial" w:eastAsia="Times New Roman" w:hAnsi="Arial" w:cs="Arial"/>
              </w:rPr>
              <w:t xml:space="preserve"> data </w:t>
            </w:r>
            <w:r>
              <w:rPr>
                <w:rFonts w:ascii="Arial" w:eastAsia="Times New Roman" w:hAnsi="Arial" w:cs="Arial"/>
              </w:rPr>
              <w:t>reporting</w:t>
            </w:r>
            <w:r w:rsidRPr="006A6333">
              <w:rPr>
                <w:rFonts w:ascii="Arial" w:eastAsia="Times New Roman" w:hAnsi="Arial" w:cs="Arial"/>
              </w:rPr>
              <w:t xml:space="preserve"> </w:t>
            </w:r>
            <w:r w:rsidR="006A6333" w:rsidRPr="006A6333">
              <w:rPr>
                <w:rFonts w:ascii="Arial" w:eastAsia="Times New Roman" w:hAnsi="Arial" w:cs="Arial"/>
              </w:rPr>
              <w:t>evaluated for:</w:t>
            </w:r>
          </w:p>
          <w:p w14:paraId="5B89B730" w14:textId="088504DB" w:rsidR="00631B32" w:rsidRDefault="00631B32" w:rsidP="007A0A70">
            <w:pPr>
              <w:numPr>
                <w:ilvl w:val="0"/>
                <w:numId w:val="9"/>
              </w:numPr>
              <w:tabs>
                <w:tab w:val="clear" w:pos="720"/>
              </w:tabs>
              <w:spacing w:after="0" w:line="240" w:lineRule="auto"/>
              <w:ind w:left="345" w:hanging="345"/>
              <w:rPr>
                <w:rFonts w:ascii="Arial" w:eastAsia="Times New Roman" w:hAnsi="Arial" w:cs="Arial"/>
              </w:rPr>
            </w:pPr>
            <w:r>
              <w:rPr>
                <w:rFonts w:ascii="Arial" w:eastAsia="Times New Roman" w:hAnsi="Arial" w:cs="Arial"/>
              </w:rPr>
              <w:t>Suspensions and expulsions (Indicator 4</w:t>
            </w:r>
            <w:proofErr w:type="gramStart"/>
            <w:r>
              <w:rPr>
                <w:rFonts w:ascii="Arial" w:eastAsia="Times New Roman" w:hAnsi="Arial" w:cs="Arial"/>
              </w:rPr>
              <w:t>);</w:t>
            </w:r>
            <w:proofErr w:type="gramEnd"/>
          </w:p>
          <w:p w14:paraId="56FEB694" w14:textId="7AD8364E" w:rsidR="003C7391" w:rsidRDefault="003C7391" w:rsidP="007A0A70">
            <w:pPr>
              <w:numPr>
                <w:ilvl w:val="0"/>
                <w:numId w:val="9"/>
              </w:numPr>
              <w:tabs>
                <w:tab w:val="clear" w:pos="720"/>
              </w:tabs>
              <w:spacing w:after="0" w:line="240" w:lineRule="auto"/>
              <w:ind w:left="345" w:hanging="345"/>
              <w:rPr>
                <w:rFonts w:ascii="Arial" w:eastAsia="Times New Roman" w:hAnsi="Arial" w:cs="Arial"/>
              </w:rPr>
            </w:pPr>
            <w:r>
              <w:rPr>
                <w:rFonts w:ascii="Arial" w:eastAsia="Times New Roman" w:hAnsi="Arial" w:cs="Arial"/>
              </w:rPr>
              <w:t>Disproportionality (</w:t>
            </w:r>
            <w:r w:rsidR="00CF5237">
              <w:rPr>
                <w:rFonts w:ascii="Arial" w:eastAsia="Times New Roman" w:hAnsi="Arial" w:cs="Arial"/>
              </w:rPr>
              <w:t>Identification (</w:t>
            </w:r>
            <w:r>
              <w:rPr>
                <w:rFonts w:ascii="Arial" w:eastAsia="Times New Roman" w:hAnsi="Arial" w:cs="Arial"/>
              </w:rPr>
              <w:t>Indicators 9 &amp; 10</w:t>
            </w:r>
            <w:r w:rsidR="00CF5237">
              <w:rPr>
                <w:rFonts w:ascii="Arial" w:eastAsia="Times New Roman" w:hAnsi="Arial" w:cs="Arial"/>
              </w:rPr>
              <w:t>)</w:t>
            </w:r>
            <w:r>
              <w:rPr>
                <w:rFonts w:ascii="Arial" w:eastAsia="Times New Roman" w:hAnsi="Arial" w:cs="Arial"/>
              </w:rPr>
              <w:t>, Placement, Discipline)</w:t>
            </w:r>
          </w:p>
          <w:p w14:paraId="03ED4A2C" w14:textId="2C5BC0C3" w:rsidR="006A6333" w:rsidRPr="006A6333" w:rsidRDefault="006A6333" w:rsidP="007A0A70">
            <w:pPr>
              <w:numPr>
                <w:ilvl w:val="0"/>
                <w:numId w:val="9"/>
              </w:numPr>
              <w:tabs>
                <w:tab w:val="clear" w:pos="720"/>
              </w:tabs>
              <w:spacing w:after="0" w:line="240" w:lineRule="auto"/>
              <w:ind w:left="345" w:hanging="345"/>
              <w:rPr>
                <w:rFonts w:ascii="Arial" w:eastAsia="Times New Roman" w:hAnsi="Arial" w:cs="Arial"/>
              </w:rPr>
            </w:pPr>
            <w:r w:rsidRPr="006A6333">
              <w:rPr>
                <w:rFonts w:ascii="Arial" w:eastAsia="Times New Roman" w:hAnsi="Arial" w:cs="Arial"/>
              </w:rPr>
              <w:t>Initial evaluations (Indicator 11</w:t>
            </w:r>
            <w:proofErr w:type="gramStart"/>
            <w:r w:rsidRPr="006A6333">
              <w:rPr>
                <w:rFonts w:ascii="Arial" w:eastAsia="Times New Roman" w:hAnsi="Arial" w:cs="Arial"/>
              </w:rPr>
              <w:t>);</w:t>
            </w:r>
            <w:proofErr w:type="gramEnd"/>
          </w:p>
          <w:p w14:paraId="41433BFF" w14:textId="77777777" w:rsidR="006A6333" w:rsidRPr="006A6333" w:rsidRDefault="006A6333" w:rsidP="007A0A70">
            <w:pPr>
              <w:numPr>
                <w:ilvl w:val="0"/>
                <w:numId w:val="9"/>
              </w:numPr>
              <w:tabs>
                <w:tab w:val="clear" w:pos="720"/>
              </w:tabs>
              <w:spacing w:after="0" w:line="240" w:lineRule="auto"/>
              <w:ind w:left="345" w:hanging="345"/>
              <w:rPr>
                <w:rFonts w:ascii="Arial" w:eastAsia="Times New Roman" w:hAnsi="Arial" w:cs="Arial"/>
              </w:rPr>
            </w:pPr>
            <w:r w:rsidRPr="006A6333">
              <w:rPr>
                <w:rFonts w:ascii="Arial" w:eastAsia="Times New Roman" w:hAnsi="Arial" w:cs="Arial"/>
              </w:rPr>
              <w:t>Early childhood transition (Indicator 12</w:t>
            </w:r>
            <w:proofErr w:type="gramStart"/>
            <w:r w:rsidRPr="006A6333">
              <w:rPr>
                <w:rFonts w:ascii="Arial" w:eastAsia="Times New Roman" w:hAnsi="Arial" w:cs="Arial"/>
              </w:rPr>
              <w:t>);</w:t>
            </w:r>
            <w:proofErr w:type="gramEnd"/>
          </w:p>
          <w:p w14:paraId="4B618073" w14:textId="06BC87D9" w:rsidR="006A6333" w:rsidRPr="006A6333" w:rsidRDefault="006A6333" w:rsidP="007A0A70">
            <w:pPr>
              <w:numPr>
                <w:ilvl w:val="0"/>
                <w:numId w:val="9"/>
              </w:numPr>
              <w:tabs>
                <w:tab w:val="clear" w:pos="720"/>
              </w:tabs>
              <w:spacing w:after="0" w:line="240" w:lineRule="auto"/>
              <w:ind w:left="345" w:hanging="345"/>
              <w:rPr>
                <w:rFonts w:ascii="Arial" w:eastAsia="Times New Roman" w:hAnsi="Arial" w:cs="Arial"/>
              </w:rPr>
            </w:pPr>
            <w:r w:rsidRPr="006A6333">
              <w:rPr>
                <w:rFonts w:ascii="Arial" w:eastAsia="Times New Roman" w:hAnsi="Arial" w:cs="Arial"/>
              </w:rPr>
              <w:t>Secondary transition planning (Indicator 13</w:t>
            </w:r>
            <w:proofErr w:type="gramStart"/>
            <w:r w:rsidRPr="006A6333">
              <w:rPr>
                <w:rFonts w:ascii="Arial" w:eastAsia="Times New Roman" w:hAnsi="Arial" w:cs="Arial"/>
              </w:rPr>
              <w:t>);</w:t>
            </w:r>
            <w:proofErr w:type="gramEnd"/>
          </w:p>
          <w:p w14:paraId="0438EA3F" w14:textId="090A87D8" w:rsidR="00823C50" w:rsidRDefault="00823C50" w:rsidP="007A0A70">
            <w:pPr>
              <w:numPr>
                <w:ilvl w:val="0"/>
                <w:numId w:val="9"/>
              </w:numPr>
              <w:tabs>
                <w:tab w:val="clear" w:pos="720"/>
              </w:tabs>
              <w:spacing w:after="0" w:line="240" w:lineRule="auto"/>
              <w:ind w:left="345" w:hanging="345"/>
              <w:rPr>
                <w:rFonts w:ascii="Arial" w:eastAsia="Times New Roman" w:hAnsi="Arial" w:cs="Arial"/>
              </w:rPr>
            </w:pPr>
            <w:r>
              <w:rPr>
                <w:rFonts w:ascii="Arial" w:eastAsia="Times New Roman" w:hAnsi="Arial" w:cs="Arial"/>
              </w:rPr>
              <w:t>Alternate assessment participation; and</w:t>
            </w:r>
          </w:p>
          <w:p w14:paraId="76899B4F" w14:textId="5ED86C1E" w:rsidR="006A6333" w:rsidRPr="006A6333" w:rsidRDefault="006A6333" w:rsidP="007A0A70">
            <w:pPr>
              <w:numPr>
                <w:ilvl w:val="0"/>
                <w:numId w:val="9"/>
              </w:numPr>
              <w:tabs>
                <w:tab w:val="clear" w:pos="720"/>
              </w:tabs>
              <w:spacing w:after="0" w:line="240" w:lineRule="auto"/>
              <w:ind w:left="345" w:hanging="345"/>
              <w:rPr>
                <w:rFonts w:ascii="Arial" w:eastAsia="Times New Roman" w:hAnsi="Arial" w:cs="Arial"/>
              </w:rPr>
            </w:pPr>
            <w:r w:rsidRPr="006A6333">
              <w:rPr>
                <w:rFonts w:ascii="Arial" w:eastAsia="Times New Roman" w:hAnsi="Arial" w:cs="Arial"/>
              </w:rPr>
              <w:t xml:space="preserve">Other </w:t>
            </w:r>
            <w:r w:rsidR="00823C50">
              <w:rPr>
                <w:rFonts w:ascii="Arial" w:eastAsia="Times New Roman" w:hAnsi="Arial" w:cs="Arial"/>
              </w:rPr>
              <w:t>EMIS data reported for students with disabilities</w:t>
            </w:r>
            <w:r w:rsidRPr="006A6333">
              <w:rPr>
                <w:rFonts w:ascii="Arial" w:eastAsia="Times New Roman" w:hAnsi="Arial" w:cs="Arial"/>
              </w:rPr>
              <w:t>.</w:t>
            </w:r>
          </w:p>
        </w:tc>
      </w:tr>
      <w:tr w:rsidR="006A6333" w:rsidRPr="006A6333" w14:paraId="68E6CAAA" w14:textId="77777777" w:rsidTr="006135DF">
        <w:trPr>
          <w:tblCellSpacing w:w="15" w:type="dxa"/>
        </w:trPr>
        <w:tc>
          <w:tcPr>
            <w:tcW w:w="989" w:type="pct"/>
            <w:shd w:val="clear" w:color="auto" w:fill="FFFFFF"/>
            <w:tcMar>
              <w:top w:w="120" w:type="dxa"/>
              <w:left w:w="150" w:type="dxa"/>
              <w:bottom w:w="120" w:type="dxa"/>
              <w:right w:w="150" w:type="dxa"/>
            </w:tcMar>
            <w:hideMark/>
          </w:tcPr>
          <w:p w14:paraId="6F1A1BC4" w14:textId="77777777" w:rsidR="006A6333" w:rsidRPr="006A6333" w:rsidRDefault="006A6333" w:rsidP="007A0A70">
            <w:pPr>
              <w:spacing w:after="0" w:line="240" w:lineRule="auto"/>
              <w:rPr>
                <w:rFonts w:ascii="Arial" w:eastAsia="Times New Roman" w:hAnsi="Arial" w:cs="Arial"/>
              </w:rPr>
            </w:pPr>
            <w:r w:rsidRPr="006A6333">
              <w:rPr>
                <w:rFonts w:ascii="Arial" w:eastAsia="Times New Roman" w:hAnsi="Arial" w:cs="Arial"/>
                <w:b/>
                <w:bCs/>
              </w:rPr>
              <w:t>Notes</w:t>
            </w:r>
          </w:p>
        </w:tc>
        <w:tc>
          <w:tcPr>
            <w:tcW w:w="3962" w:type="pct"/>
            <w:shd w:val="clear" w:color="auto" w:fill="FFFFFF"/>
            <w:tcMar>
              <w:top w:w="120" w:type="dxa"/>
              <w:left w:w="150" w:type="dxa"/>
              <w:bottom w:w="120" w:type="dxa"/>
              <w:right w:w="150" w:type="dxa"/>
            </w:tcMar>
            <w:hideMark/>
          </w:tcPr>
          <w:p w14:paraId="57A826D6" w14:textId="4821F0D5" w:rsidR="006A6333" w:rsidRPr="006A6333" w:rsidRDefault="006A6333" w:rsidP="007A0A70">
            <w:pPr>
              <w:spacing w:after="0" w:line="240" w:lineRule="auto"/>
              <w:rPr>
                <w:rFonts w:ascii="Arial" w:eastAsia="Times New Roman" w:hAnsi="Arial" w:cs="Arial"/>
              </w:rPr>
            </w:pPr>
            <w:r w:rsidRPr="006A6333">
              <w:rPr>
                <w:rFonts w:ascii="Arial" w:eastAsia="Times New Roman" w:hAnsi="Arial" w:cs="Arial"/>
              </w:rPr>
              <w:t xml:space="preserve">Data are considered </w:t>
            </w:r>
            <w:r w:rsidR="00AD7F23">
              <w:rPr>
                <w:rFonts w:ascii="Arial" w:eastAsia="Times New Roman" w:hAnsi="Arial" w:cs="Arial"/>
              </w:rPr>
              <w:t>inaccurate</w:t>
            </w:r>
            <w:r w:rsidRPr="006A6333">
              <w:rPr>
                <w:rFonts w:ascii="Arial" w:eastAsia="Times New Roman" w:hAnsi="Arial" w:cs="Arial"/>
              </w:rPr>
              <w:t xml:space="preserve"> </w:t>
            </w:r>
            <w:r w:rsidR="00792FF0">
              <w:rPr>
                <w:rFonts w:ascii="Arial" w:eastAsia="Times New Roman" w:hAnsi="Arial" w:cs="Arial"/>
              </w:rPr>
              <w:t>if student</w:t>
            </w:r>
            <w:r w:rsidRPr="006A6333">
              <w:rPr>
                <w:rFonts w:ascii="Arial" w:eastAsia="Times New Roman" w:hAnsi="Arial" w:cs="Arial"/>
              </w:rPr>
              <w:t xml:space="preserve"> records </w:t>
            </w:r>
            <w:r w:rsidR="00AD7F23">
              <w:rPr>
                <w:rFonts w:ascii="Arial" w:eastAsia="Times New Roman" w:hAnsi="Arial" w:cs="Arial"/>
              </w:rPr>
              <w:t>or other documentation</w:t>
            </w:r>
            <w:r w:rsidR="00AD7F23" w:rsidRPr="006A6333" w:rsidDel="00AD7F23">
              <w:rPr>
                <w:rFonts w:ascii="Arial" w:eastAsia="Times New Roman" w:hAnsi="Arial" w:cs="Arial"/>
              </w:rPr>
              <w:t xml:space="preserve"> </w:t>
            </w:r>
            <w:r w:rsidRPr="006A6333">
              <w:rPr>
                <w:rFonts w:ascii="Arial" w:eastAsia="Times New Roman" w:hAnsi="Arial" w:cs="Arial"/>
              </w:rPr>
              <w:t>do not match the data reported in EMIS</w:t>
            </w:r>
            <w:r w:rsidR="00AD7F23">
              <w:rPr>
                <w:rFonts w:ascii="Arial" w:eastAsia="Times New Roman" w:hAnsi="Arial" w:cs="Arial"/>
              </w:rPr>
              <w:t>, as determined through reviews completed by the Department</w:t>
            </w:r>
            <w:r w:rsidRPr="006A6333">
              <w:rPr>
                <w:rFonts w:ascii="Arial" w:eastAsia="Times New Roman" w:hAnsi="Arial" w:cs="Arial"/>
              </w:rPr>
              <w:t>.</w:t>
            </w:r>
          </w:p>
        </w:tc>
      </w:tr>
      <w:tr w:rsidR="006A6333" w:rsidRPr="006A6333" w14:paraId="75BF7457" w14:textId="77777777" w:rsidTr="00964084">
        <w:trPr>
          <w:tblHeader/>
          <w:tblCellSpacing w:w="15" w:type="dxa"/>
        </w:trPr>
        <w:tc>
          <w:tcPr>
            <w:tcW w:w="989" w:type="pct"/>
            <w:shd w:val="clear" w:color="auto" w:fill="auto"/>
            <w:tcMar>
              <w:top w:w="150" w:type="dxa"/>
              <w:left w:w="270" w:type="dxa"/>
              <w:bottom w:w="150" w:type="dxa"/>
              <w:right w:w="270" w:type="dxa"/>
            </w:tcMar>
            <w:vAlign w:val="bottom"/>
            <w:hideMark/>
          </w:tcPr>
          <w:p w14:paraId="1FE092F0" w14:textId="629CBDCC" w:rsidR="006A6333" w:rsidRPr="006A6333" w:rsidRDefault="00845D3F" w:rsidP="007A0A70">
            <w:pPr>
              <w:spacing w:after="0" w:line="240" w:lineRule="auto"/>
              <w:jc w:val="center"/>
              <w:rPr>
                <w:rFonts w:ascii="Arial" w:eastAsia="Times New Roman" w:hAnsi="Arial" w:cs="Arial"/>
                <w:b/>
                <w:bCs/>
              </w:rPr>
            </w:pPr>
            <w:r>
              <w:rPr>
                <w:rFonts w:ascii="Arial" w:eastAsia="Times New Roman" w:hAnsi="Arial" w:cs="Arial"/>
                <w:b/>
                <w:bCs/>
              </w:rPr>
              <w:t>Indicator 20</w:t>
            </w:r>
            <w:r w:rsidR="006A6333">
              <w:rPr>
                <w:rFonts w:ascii="Arial" w:eastAsia="Times New Roman" w:hAnsi="Arial" w:cs="Arial"/>
                <w:b/>
                <w:bCs/>
              </w:rPr>
              <w:t xml:space="preserve"> </w:t>
            </w:r>
            <w:r w:rsidR="006A6333" w:rsidRPr="006A6333">
              <w:rPr>
                <w:rFonts w:ascii="Arial" w:eastAsia="Times New Roman" w:hAnsi="Arial" w:cs="Arial"/>
                <w:b/>
                <w:bCs/>
              </w:rPr>
              <w:t>Points</w:t>
            </w:r>
          </w:p>
        </w:tc>
        <w:tc>
          <w:tcPr>
            <w:tcW w:w="3962" w:type="pct"/>
            <w:shd w:val="clear" w:color="auto" w:fill="auto"/>
            <w:tcMar>
              <w:top w:w="150" w:type="dxa"/>
              <w:left w:w="270" w:type="dxa"/>
              <w:bottom w:w="150" w:type="dxa"/>
              <w:right w:w="270" w:type="dxa"/>
            </w:tcMar>
            <w:vAlign w:val="center"/>
            <w:hideMark/>
          </w:tcPr>
          <w:p w14:paraId="0571B1D2" w14:textId="77777777" w:rsidR="006A6333" w:rsidRPr="006A6333" w:rsidRDefault="006A6333" w:rsidP="007A0A70">
            <w:pPr>
              <w:spacing w:after="0" w:line="240" w:lineRule="auto"/>
              <w:rPr>
                <w:rFonts w:ascii="Arial" w:eastAsia="Times New Roman" w:hAnsi="Arial" w:cs="Arial"/>
                <w:b/>
                <w:bCs/>
              </w:rPr>
            </w:pPr>
            <w:r w:rsidRPr="006A6333">
              <w:rPr>
                <w:rFonts w:ascii="Arial" w:eastAsia="Times New Roman" w:hAnsi="Arial" w:cs="Arial"/>
                <w:b/>
                <w:bCs/>
              </w:rPr>
              <w:t>Criteria</w:t>
            </w:r>
          </w:p>
        </w:tc>
      </w:tr>
      <w:tr w:rsidR="006A6333" w:rsidRPr="006A6333" w14:paraId="303C1B56" w14:textId="77777777" w:rsidTr="006135DF">
        <w:trPr>
          <w:tblCellSpacing w:w="15" w:type="dxa"/>
        </w:trPr>
        <w:tc>
          <w:tcPr>
            <w:tcW w:w="989" w:type="pct"/>
            <w:shd w:val="clear" w:color="auto" w:fill="F8F5F0"/>
            <w:tcMar>
              <w:top w:w="120" w:type="dxa"/>
              <w:left w:w="150" w:type="dxa"/>
              <w:bottom w:w="120" w:type="dxa"/>
              <w:right w:w="150" w:type="dxa"/>
            </w:tcMar>
            <w:hideMark/>
          </w:tcPr>
          <w:p w14:paraId="4CDF3081" w14:textId="77777777" w:rsidR="006A6333" w:rsidRPr="006A6333" w:rsidRDefault="006A6333" w:rsidP="007A0A70">
            <w:pPr>
              <w:spacing w:after="0" w:line="240" w:lineRule="auto"/>
              <w:jc w:val="center"/>
              <w:rPr>
                <w:rFonts w:ascii="Arial" w:eastAsia="Times New Roman" w:hAnsi="Arial" w:cs="Arial"/>
              </w:rPr>
            </w:pPr>
            <w:r w:rsidRPr="006A6333">
              <w:rPr>
                <w:rFonts w:ascii="Arial" w:eastAsia="Times New Roman" w:hAnsi="Arial" w:cs="Arial"/>
              </w:rPr>
              <w:t>4</w:t>
            </w:r>
          </w:p>
        </w:tc>
        <w:tc>
          <w:tcPr>
            <w:tcW w:w="3962" w:type="pct"/>
            <w:shd w:val="clear" w:color="auto" w:fill="F8F5F0"/>
            <w:tcMar>
              <w:top w:w="120" w:type="dxa"/>
              <w:left w:w="150" w:type="dxa"/>
              <w:bottom w:w="120" w:type="dxa"/>
              <w:right w:w="150" w:type="dxa"/>
            </w:tcMar>
            <w:hideMark/>
          </w:tcPr>
          <w:p w14:paraId="2954AB4B" w14:textId="322A1686" w:rsidR="006A6333" w:rsidRPr="006A6333" w:rsidRDefault="006A6333" w:rsidP="007A0A70">
            <w:pPr>
              <w:spacing w:after="0" w:line="240" w:lineRule="auto"/>
              <w:rPr>
                <w:rFonts w:ascii="Arial" w:eastAsia="Times New Roman" w:hAnsi="Arial" w:cs="Arial"/>
              </w:rPr>
            </w:pPr>
            <w:r w:rsidRPr="006A6333">
              <w:rPr>
                <w:rFonts w:ascii="Arial" w:eastAsia="Times New Roman" w:hAnsi="Arial" w:cs="Arial"/>
              </w:rPr>
              <w:t>All data are timely</w:t>
            </w:r>
            <w:r w:rsidR="00AD7F23">
              <w:rPr>
                <w:rFonts w:ascii="Arial" w:eastAsia="Times New Roman" w:hAnsi="Arial" w:cs="Arial"/>
              </w:rPr>
              <w:t xml:space="preserve"> and accurate</w:t>
            </w:r>
            <w:r w:rsidRPr="006A6333">
              <w:rPr>
                <w:rFonts w:ascii="Arial" w:eastAsia="Times New Roman" w:hAnsi="Arial" w:cs="Arial"/>
              </w:rPr>
              <w:t>.</w:t>
            </w:r>
          </w:p>
        </w:tc>
      </w:tr>
      <w:tr w:rsidR="006A6333" w:rsidRPr="006A6333" w14:paraId="5451A1A4" w14:textId="77777777" w:rsidTr="006135DF">
        <w:trPr>
          <w:tblCellSpacing w:w="15" w:type="dxa"/>
        </w:trPr>
        <w:tc>
          <w:tcPr>
            <w:tcW w:w="989" w:type="pct"/>
            <w:shd w:val="clear" w:color="auto" w:fill="FFFFFF"/>
            <w:tcMar>
              <w:top w:w="120" w:type="dxa"/>
              <w:left w:w="150" w:type="dxa"/>
              <w:bottom w:w="120" w:type="dxa"/>
              <w:right w:w="150" w:type="dxa"/>
            </w:tcMar>
            <w:hideMark/>
          </w:tcPr>
          <w:p w14:paraId="0CF189D6" w14:textId="77777777" w:rsidR="006A6333" w:rsidRPr="006A6333" w:rsidRDefault="006A6333" w:rsidP="007A0A70">
            <w:pPr>
              <w:spacing w:after="0" w:line="240" w:lineRule="auto"/>
              <w:jc w:val="center"/>
              <w:rPr>
                <w:rFonts w:ascii="Arial" w:eastAsia="Times New Roman" w:hAnsi="Arial" w:cs="Arial"/>
              </w:rPr>
            </w:pPr>
            <w:r w:rsidRPr="006A6333">
              <w:rPr>
                <w:rFonts w:ascii="Arial" w:eastAsia="Times New Roman" w:hAnsi="Arial" w:cs="Arial"/>
              </w:rPr>
              <w:t>3</w:t>
            </w:r>
          </w:p>
        </w:tc>
        <w:tc>
          <w:tcPr>
            <w:tcW w:w="3962" w:type="pct"/>
            <w:shd w:val="clear" w:color="auto" w:fill="FFFFFF"/>
            <w:tcMar>
              <w:top w:w="120" w:type="dxa"/>
              <w:left w:w="150" w:type="dxa"/>
              <w:bottom w:w="120" w:type="dxa"/>
              <w:right w:w="150" w:type="dxa"/>
            </w:tcMar>
            <w:hideMark/>
          </w:tcPr>
          <w:p w14:paraId="2941972F" w14:textId="15D10E11" w:rsidR="006A6333" w:rsidRPr="006A6333" w:rsidRDefault="00AD7F23" w:rsidP="007A0A70">
            <w:pPr>
              <w:spacing w:after="0" w:line="240" w:lineRule="auto"/>
              <w:rPr>
                <w:rFonts w:ascii="Arial" w:eastAsia="Times New Roman" w:hAnsi="Arial" w:cs="Arial"/>
              </w:rPr>
            </w:pPr>
            <w:r w:rsidRPr="006A6333">
              <w:rPr>
                <w:rFonts w:ascii="Arial" w:eastAsia="Times New Roman" w:hAnsi="Arial" w:cs="Arial"/>
              </w:rPr>
              <w:t xml:space="preserve">One component of </w:t>
            </w:r>
            <w:r w:rsidR="000F3A30">
              <w:rPr>
                <w:rFonts w:ascii="Arial" w:eastAsia="Times New Roman" w:hAnsi="Arial" w:cs="Arial"/>
              </w:rPr>
              <w:t>1-</w:t>
            </w:r>
            <w:r w:rsidR="003C7391">
              <w:rPr>
                <w:rFonts w:ascii="Arial" w:eastAsia="Times New Roman" w:hAnsi="Arial" w:cs="Arial"/>
              </w:rPr>
              <w:t>7</w:t>
            </w:r>
            <w:r w:rsidR="003C7391" w:rsidRPr="006A6333">
              <w:rPr>
                <w:rFonts w:ascii="Arial" w:eastAsia="Times New Roman" w:hAnsi="Arial" w:cs="Arial"/>
              </w:rPr>
              <w:t xml:space="preserve"> </w:t>
            </w:r>
            <w:r w:rsidRPr="006A6333">
              <w:rPr>
                <w:rFonts w:ascii="Arial" w:eastAsia="Times New Roman" w:hAnsi="Arial" w:cs="Arial"/>
              </w:rPr>
              <w:t>is not</w:t>
            </w:r>
            <w:r>
              <w:rPr>
                <w:rFonts w:ascii="Arial" w:eastAsia="Times New Roman" w:hAnsi="Arial" w:cs="Arial"/>
              </w:rPr>
              <w:t xml:space="preserve"> timely or accurate.</w:t>
            </w:r>
          </w:p>
        </w:tc>
      </w:tr>
      <w:tr w:rsidR="006A6333" w:rsidRPr="006A6333" w14:paraId="4B243941" w14:textId="77777777" w:rsidTr="006135DF">
        <w:trPr>
          <w:tblCellSpacing w:w="15" w:type="dxa"/>
        </w:trPr>
        <w:tc>
          <w:tcPr>
            <w:tcW w:w="989" w:type="pct"/>
            <w:shd w:val="clear" w:color="auto" w:fill="F8F5F0"/>
            <w:tcMar>
              <w:top w:w="120" w:type="dxa"/>
              <w:left w:w="150" w:type="dxa"/>
              <w:bottom w:w="120" w:type="dxa"/>
              <w:right w:w="150" w:type="dxa"/>
            </w:tcMar>
            <w:hideMark/>
          </w:tcPr>
          <w:p w14:paraId="5AB2F9ED" w14:textId="77777777" w:rsidR="006A6333" w:rsidRPr="006A6333" w:rsidRDefault="006A6333" w:rsidP="007A0A70">
            <w:pPr>
              <w:spacing w:after="0" w:line="240" w:lineRule="auto"/>
              <w:jc w:val="center"/>
              <w:rPr>
                <w:rFonts w:ascii="Arial" w:eastAsia="Times New Roman" w:hAnsi="Arial" w:cs="Arial"/>
              </w:rPr>
            </w:pPr>
            <w:r w:rsidRPr="006A6333">
              <w:rPr>
                <w:rFonts w:ascii="Arial" w:eastAsia="Times New Roman" w:hAnsi="Arial" w:cs="Arial"/>
              </w:rPr>
              <w:t>2</w:t>
            </w:r>
          </w:p>
        </w:tc>
        <w:tc>
          <w:tcPr>
            <w:tcW w:w="3962" w:type="pct"/>
            <w:shd w:val="clear" w:color="auto" w:fill="F8F5F0"/>
            <w:tcMar>
              <w:top w:w="120" w:type="dxa"/>
              <w:left w:w="150" w:type="dxa"/>
              <w:bottom w:w="120" w:type="dxa"/>
              <w:right w:w="150" w:type="dxa"/>
            </w:tcMar>
            <w:hideMark/>
          </w:tcPr>
          <w:p w14:paraId="1F2AE1C6" w14:textId="219A0A44" w:rsidR="006A6333" w:rsidRPr="006A6333" w:rsidRDefault="00AD7F23" w:rsidP="007A0A70">
            <w:pPr>
              <w:spacing w:after="0" w:line="240" w:lineRule="auto"/>
              <w:rPr>
                <w:rFonts w:ascii="Arial" w:eastAsia="Times New Roman" w:hAnsi="Arial" w:cs="Arial"/>
              </w:rPr>
            </w:pPr>
            <w:r>
              <w:rPr>
                <w:rFonts w:ascii="Arial" w:eastAsia="Times New Roman" w:hAnsi="Arial" w:cs="Arial"/>
              </w:rPr>
              <w:t>Two</w:t>
            </w:r>
            <w:r w:rsidRPr="006A6333">
              <w:rPr>
                <w:rFonts w:ascii="Arial" w:eastAsia="Times New Roman" w:hAnsi="Arial" w:cs="Arial"/>
              </w:rPr>
              <w:t xml:space="preserve"> component</w:t>
            </w:r>
            <w:r>
              <w:rPr>
                <w:rFonts w:ascii="Arial" w:eastAsia="Times New Roman" w:hAnsi="Arial" w:cs="Arial"/>
              </w:rPr>
              <w:t>s</w:t>
            </w:r>
            <w:r w:rsidRPr="006A6333">
              <w:rPr>
                <w:rFonts w:ascii="Arial" w:eastAsia="Times New Roman" w:hAnsi="Arial" w:cs="Arial"/>
              </w:rPr>
              <w:t xml:space="preserve"> of </w:t>
            </w:r>
            <w:r w:rsidR="000F3A30">
              <w:rPr>
                <w:rFonts w:ascii="Arial" w:eastAsia="Times New Roman" w:hAnsi="Arial" w:cs="Arial"/>
              </w:rPr>
              <w:t>1-</w:t>
            </w:r>
            <w:r w:rsidR="003C7391">
              <w:rPr>
                <w:rFonts w:ascii="Arial" w:eastAsia="Times New Roman" w:hAnsi="Arial" w:cs="Arial"/>
              </w:rPr>
              <w:t>7</w:t>
            </w:r>
            <w:r w:rsidR="003C7391" w:rsidRPr="006A6333">
              <w:rPr>
                <w:rFonts w:ascii="Arial" w:eastAsia="Times New Roman" w:hAnsi="Arial" w:cs="Arial"/>
              </w:rPr>
              <w:t xml:space="preserve"> </w:t>
            </w:r>
            <w:r>
              <w:rPr>
                <w:rFonts w:ascii="Arial" w:eastAsia="Times New Roman" w:hAnsi="Arial" w:cs="Arial"/>
              </w:rPr>
              <w:t>are</w:t>
            </w:r>
            <w:r w:rsidRPr="006A6333">
              <w:rPr>
                <w:rFonts w:ascii="Arial" w:eastAsia="Times New Roman" w:hAnsi="Arial" w:cs="Arial"/>
              </w:rPr>
              <w:t xml:space="preserve"> not</w:t>
            </w:r>
            <w:r>
              <w:rPr>
                <w:rFonts w:ascii="Arial" w:eastAsia="Times New Roman" w:hAnsi="Arial" w:cs="Arial"/>
              </w:rPr>
              <w:t xml:space="preserve"> timely or accurate.</w:t>
            </w:r>
          </w:p>
        </w:tc>
      </w:tr>
      <w:tr w:rsidR="006A6333" w:rsidRPr="006A6333" w14:paraId="438FA7B2" w14:textId="77777777" w:rsidTr="006135DF">
        <w:trPr>
          <w:tblCellSpacing w:w="15" w:type="dxa"/>
        </w:trPr>
        <w:tc>
          <w:tcPr>
            <w:tcW w:w="989" w:type="pct"/>
            <w:shd w:val="clear" w:color="auto" w:fill="FFFFFF"/>
            <w:tcMar>
              <w:top w:w="120" w:type="dxa"/>
              <w:left w:w="150" w:type="dxa"/>
              <w:bottom w:w="120" w:type="dxa"/>
              <w:right w:w="150" w:type="dxa"/>
            </w:tcMar>
            <w:vAlign w:val="center"/>
            <w:hideMark/>
          </w:tcPr>
          <w:p w14:paraId="47B541AA" w14:textId="77777777" w:rsidR="006A6333" w:rsidRPr="006A6333" w:rsidRDefault="006A6333" w:rsidP="007A0A70">
            <w:pPr>
              <w:spacing w:after="0" w:line="240" w:lineRule="auto"/>
              <w:jc w:val="center"/>
              <w:rPr>
                <w:rFonts w:ascii="Arial" w:eastAsia="Times New Roman" w:hAnsi="Arial" w:cs="Arial"/>
              </w:rPr>
            </w:pPr>
            <w:r w:rsidRPr="006A6333">
              <w:rPr>
                <w:rFonts w:ascii="Arial" w:eastAsia="Times New Roman" w:hAnsi="Arial" w:cs="Arial"/>
              </w:rPr>
              <w:t>1</w:t>
            </w:r>
          </w:p>
        </w:tc>
        <w:tc>
          <w:tcPr>
            <w:tcW w:w="3962" w:type="pct"/>
            <w:shd w:val="clear" w:color="auto" w:fill="FFFFFF"/>
            <w:tcMar>
              <w:top w:w="120" w:type="dxa"/>
              <w:left w:w="150" w:type="dxa"/>
              <w:bottom w:w="120" w:type="dxa"/>
              <w:right w:w="150" w:type="dxa"/>
            </w:tcMar>
            <w:hideMark/>
          </w:tcPr>
          <w:p w14:paraId="0FA4E270" w14:textId="6EA969AB" w:rsidR="006A6333" w:rsidRPr="006A6333" w:rsidRDefault="00AD7F23" w:rsidP="007A0A70">
            <w:pPr>
              <w:spacing w:after="0" w:line="240" w:lineRule="auto"/>
              <w:rPr>
                <w:rFonts w:ascii="Arial" w:eastAsia="Times New Roman" w:hAnsi="Arial" w:cs="Arial"/>
              </w:rPr>
            </w:pPr>
            <w:r>
              <w:rPr>
                <w:rFonts w:ascii="Arial" w:eastAsia="Times New Roman" w:hAnsi="Arial" w:cs="Arial"/>
              </w:rPr>
              <w:t>Three or more</w:t>
            </w:r>
            <w:r w:rsidRPr="006A6333">
              <w:rPr>
                <w:rFonts w:ascii="Arial" w:eastAsia="Times New Roman" w:hAnsi="Arial" w:cs="Arial"/>
              </w:rPr>
              <w:t xml:space="preserve"> component</w:t>
            </w:r>
            <w:r>
              <w:rPr>
                <w:rFonts w:ascii="Arial" w:eastAsia="Times New Roman" w:hAnsi="Arial" w:cs="Arial"/>
              </w:rPr>
              <w:t>s</w:t>
            </w:r>
            <w:r w:rsidRPr="006A6333">
              <w:rPr>
                <w:rFonts w:ascii="Arial" w:eastAsia="Times New Roman" w:hAnsi="Arial" w:cs="Arial"/>
              </w:rPr>
              <w:t xml:space="preserve"> of </w:t>
            </w:r>
            <w:r w:rsidR="000F3A30">
              <w:rPr>
                <w:rFonts w:ascii="Arial" w:eastAsia="Times New Roman" w:hAnsi="Arial" w:cs="Arial"/>
              </w:rPr>
              <w:t>1-</w:t>
            </w:r>
            <w:r w:rsidR="003C7391">
              <w:rPr>
                <w:rFonts w:ascii="Arial" w:eastAsia="Times New Roman" w:hAnsi="Arial" w:cs="Arial"/>
              </w:rPr>
              <w:t>7</w:t>
            </w:r>
            <w:r w:rsidR="003C7391" w:rsidRPr="006A6333">
              <w:rPr>
                <w:rFonts w:ascii="Arial" w:eastAsia="Times New Roman" w:hAnsi="Arial" w:cs="Arial"/>
              </w:rPr>
              <w:t xml:space="preserve"> </w:t>
            </w:r>
            <w:r>
              <w:rPr>
                <w:rFonts w:ascii="Arial" w:eastAsia="Times New Roman" w:hAnsi="Arial" w:cs="Arial"/>
              </w:rPr>
              <w:t>are</w:t>
            </w:r>
            <w:r w:rsidRPr="006A6333">
              <w:rPr>
                <w:rFonts w:ascii="Arial" w:eastAsia="Times New Roman" w:hAnsi="Arial" w:cs="Arial"/>
              </w:rPr>
              <w:t xml:space="preserve"> not</w:t>
            </w:r>
            <w:r>
              <w:rPr>
                <w:rFonts w:ascii="Arial" w:eastAsia="Times New Roman" w:hAnsi="Arial" w:cs="Arial"/>
              </w:rPr>
              <w:t xml:space="preserve"> timely or accurate.</w:t>
            </w:r>
          </w:p>
        </w:tc>
      </w:tr>
    </w:tbl>
    <w:p w14:paraId="67408933" w14:textId="77777777" w:rsidR="007C4CB5" w:rsidRDefault="007C4CB5" w:rsidP="007A0A70">
      <w:pPr>
        <w:spacing w:before="120" w:after="120" w:line="240" w:lineRule="auto"/>
        <w:rPr>
          <w:rFonts w:ascii="Arial" w:hAnsi="Arial" w:cs="Arial"/>
          <w:b/>
        </w:rPr>
      </w:pPr>
    </w:p>
    <w:p w14:paraId="31DC63E3" w14:textId="77777777" w:rsidR="006A6333" w:rsidRDefault="006A6333" w:rsidP="007A0A70">
      <w:pPr>
        <w:spacing w:before="120" w:after="120" w:line="240" w:lineRule="auto"/>
        <w:rPr>
          <w:rFonts w:ascii="Arial" w:hAnsi="Arial" w:cs="Arial"/>
          <w:b/>
        </w:rPr>
      </w:pPr>
    </w:p>
    <w:p w14:paraId="6C532055" w14:textId="77777777" w:rsidR="003F5301" w:rsidRDefault="003F5301" w:rsidP="007A0A70">
      <w:pPr>
        <w:spacing w:before="120" w:after="120" w:line="240" w:lineRule="auto"/>
        <w:rPr>
          <w:rFonts w:ascii="Arial" w:eastAsia="Times New Roman" w:hAnsi="Arial" w:cs="Arial"/>
          <w:b/>
        </w:rPr>
      </w:pPr>
      <w:r>
        <w:rPr>
          <w:rFonts w:ascii="Arial" w:eastAsia="Times New Roman" w:hAnsi="Arial" w:cs="Arial"/>
          <w:b/>
        </w:rPr>
        <w:br w:type="page"/>
      </w:r>
    </w:p>
    <w:p w14:paraId="6EF0C6B1" w14:textId="15EAD0A6" w:rsidR="006A6333" w:rsidRPr="006A6333" w:rsidRDefault="006A6333" w:rsidP="007A0A70">
      <w:pPr>
        <w:shd w:val="clear" w:color="auto" w:fill="FFFFFF"/>
        <w:spacing w:before="120" w:after="120" w:line="240" w:lineRule="auto"/>
        <w:rPr>
          <w:rFonts w:ascii="Arial" w:eastAsia="Times New Roman" w:hAnsi="Arial" w:cs="Arial"/>
          <w:b/>
        </w:rPr>
      </w:pPr>
      <w:r w:rsidRPr="006A6333">
        <w:rPr>
          <w:rFonts w:ascii="Arial" w:eastAsia="Times New Roman" w:hAnsi="Arial" w:cs="Arial"/>
          <w:b/>
        </w:rPr>
        <w:lastRenderedPageBreak/>
        <w:t>IDEA Audit Findings</w:t>
      </w:r>
    </w:p>
    <w:p w14:paraId="26035C3A" w14:textId="77777777" w:rsidR="006A6333" w:rsidRPr="006A6333" w:rsidRDefault="006A6333" w:rsidP="007A0A70">
      <w:pPr>
        <w:shd w:val="clear" w:color="auto" w:fill="FFFFFF"/>
        <w:spacing w:before="120" w:after="120" w:line="240" w:lineRule="auto"/>
        <w:rPr>
          <w:rFonts w:ascii="Arial" w:eastAsia="Times New Roman" w:hAnsi="Arial" w:cs="Arial"/>
        </w:rPr>
      </w:pPr>
      <w:r w:rsidRPr="006A6333">
        <w:rPr>
          <w:rFonts w:ascii="Arial" w:eastAsia="Times New Roman" w:hAnsi="Arial" w:cs="Arial"/>
        </w:rPr>
        <w:t>Target: No audit findings</w:t>
      </w:r>
    </w:p>
    <w:tbl>
      <w:tblPr>
        <w:tblW w:w="5000" w:type="pct"/>
        <w:tblCellSpacing w:w="15"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CellMar>
          <w:top w:w="15" w:type="dxa"/>
          <w:left w:w="15" w:type="dxa"/>
          <w:bottom w:w="15" w:type="dxa"/>
          <w:right w:w="15" w:type="dxa"/>
        </w:tblCellMar>
        <w:tblLook w:val="04A0" w:firstRow="1" w:lastRow="0" w:firstColumn="1" w:lastColumn="0" w:noHBand="0" w:noVBand="1"/>
      </w:tblPr>
      <w:tblGrid>
        <w:gridCol w:w="1444"/>
        <w:gridCol w:w="7900"/>
      </w:tblGrid>
      <w:tr w:rsidR="00325E68" w:rsidRPr="00325E68" w14:paraId="1B473251" w14:textId="77777777" w:rsidTr="00325E68">
        <w:trPr>
          <w:tblHeader/>
          <w:tblCellSpacing w:w="15" w:type="dxa"/>
        </w:trPr>
        <w:tc>
          <w:tcPr>
            <w:tcW w:w="4968" w:type="pct"/>
            <w:gridSpan w:val="2"/>
            <w:shd w:val="clear" w:color="auto" w:fill="auto"/>
            <w:tcMar>
              <w:top w:w="150" w:type="dxa"/>
              <w:left w:w="270" w:type="dxa"/>
              <w:bottom w:w="150" w:type="dxa"/>
              <w:right w:w="270" w:type="dxa"/>
            </w:tcMar>
            <w:vAlign w:val="bottom"/>
            <w:hideMark/>
          </w:tcPr>
          <w:p w14:paraId="1BB21E75" w14:textId="77777777" w:rsidR="00325E68" w:rsidRPr="00325E68" w:rsidRDefault="00325E68" w:rsidP="007A0A70">
            <w:pPr>
              <w:spacing w:after="0" w:line="240" w:lineRule="auto"/>
              <w:rPr>
                <w:rFonts w:ascii="Arial" w:eastAsia="Times New Roman" w:hAnsi="Arial" w:cs="Arial"/>
                <w:b/>
                <w:bCs/>
              </w:rPr>
            </w:pPr>
            <w:r w:rsidRPr="00325E68">
              <w:rPr>
                <w:rFonts w:ascii="Arial" w:eastAsia="Times New Roman" w:hAnsi="Arial" w:cs="Arial"/>
                <w:b/>
                <w:bCs/>
              </w:rPr>
              <w:t>IDEA Audit Findings</w:t>
            </w:r>
          </w:p>
        </w:tc>
      </w:tr>
      <w:tr w:rsidR="00325E68" w:rsidRPr="00325E68" w14:paraId="05FA49B6" w14:textId="77777777" w:rsidTr="007A0A70">
        <w:trPr>
          <w:tblCellSpacing w:w="15" w:type="dxa"/>
        </w:trPr>
        <w:tc>
          <w:tcPr>
            <w:tcW w:w="751" w:type="pct"/>
            <w:shd w:val="clear" w:color="auto" w:fill="FFFFFF"/>
            <w:tcMar>
              <w:top w:w="120" w:type="dxa"/>
              <w:left w:w="150" w:type="dxa"/>
              <w:bottom w:w="120" w:type="dxa"/>
              <w:right w:w="150" w:type="dxa"/>
            </w:tcMar>
            <w:hideMark/>
          </w:tcPr>
          <w:p w14:paraId="15620FAA" w14:textId="77777777" w:rsidR="00325E68" w:rsidRPr="00325E68" w:rsidRDefault="00325E68" w:rsidP="007A0A70">
            <w:pPr>
              <w:spacing w:after="0" w:line="240" w:lineRule="auto"/>
              <w:rPr>
                <w:rFonts w:ascii="Arial" w:eastAsia="Times New Roman" w:hAnsi="Arial" w:cs="Arial"/>
              </w:rPr>
            </w:pPr>
            <w:r w:rsidRPr="00325E68">
              <w:rPr>
                <w:rFonts w:ascii="Arial" w:eastAsia="Times New Roman" w:hAnsi="Arial" w:cs="Arial"/>
                <w:b/>
                <w:bCs/>
              </w:rPr>
              <w:t>Data Source</w:t>
            </w:r>
          </w:p>
        </w:tc>
        <w:tc>
          <w:tcPr>
            <w:tcW w:w="4201" w:type="pct"/>
            <w:shd w:val="clear" w:color="auto" w:fill="FFFFFF"/>
            <w:tcMar>
              <w:top w:w="120" w:type="dxa"/>
              <w:left w:w="150" w:type="dxa"/>
              <w:bottom w:w="120" w:type="dxa"/>
              <w:right w:w="150" w:type="dxa"/>
            </w:tcMar>
            <w:hideMark/>
          </w:tcPr>
          <w:p w14:paraId="6DFFB61C" w14:textId="63D62611" w:rsidR="00325E68" w:rsidRPr="00325E68" w:rsidRDefault="006F4E5F" w:rsidP="007A0A70">
            <w:pPr>
              <w:spacing w:after="0" w:line="240" w:lineRule="auto"/>
              <w:rPr>
                <w:rFonts w:ascii="Arial" w:eastAsia="Times New Roman" w:hAnsi="Arial" w:cs="Arial"/>
              </w:rPr>
            </w:pPr>
            <w:r>
              <w:rPr>
                <w:rFonts w:ascii="Arial" w:eastAsia="Times New Roman" w:hAnsi="Arial" w:cs="Arial"/>
              </w:rPr>
              <w:t>Single a</w:t>
            </w:r>
            <w:r w:rsidRPr="00325E68">
              <w:rPr>
                <w:rFonts w:ascii="Arial" w:eastAsia="Times New Roman" w:hAnsi="Arial" w:cs="Arial"/>
              </w:rPr>
              <w:t xml:space="preserve">udits </w:t>
            </w:r>
            <w:r w:rsidR="00325E68" w:rsidRPr="00325E68">
              <w:rPr>
                <w:rFonts w:ascii="Arial" w:eastAsia="Times New Roman" w:hAnsi="Arial" w:cs="Arial"/>
              </w:rPr>
              <w:t>conducted by the Ohio Auditor of State's Office during the </w:t>
            </w:r>
            <w:r w:rsidR="00C7294A">
              <w:rPr>
                <w:rFonts w:ascii="Arial" w:eastAsia="Times New Roman" w:hAnsi="Arial" w:cs="Arial"/>
              </w:rPr>
              <w:t>201</w:t>
            </w:r>
            <w:r w:rsidR="005E1909">
              <w:rPr>
                <w:rFonts w:ascii="Arial" w:eastAsia="Times New Roman" w:hAnsi="Arial" w:cs="Arial"/>
              </w:rPr>
              <w:t>9</w:t>
            </w:r>
            <w:r w:rsidR="00C7294A">
              <w:rPr>
                <w:rFonts w:ascii="Arial" w:eastAsia="Times New Roman" w:hAnsi="Arial" w:cs="Arial"/>
              </w:rPr>
              <w:t>-20</w:t>
            </w:r>
            <w:r w:rsidR="005E1909">
              <w:rPr>
                <w:rFonts w:ascii="Arial" w:eastAsia="Times New Roman" w:hAnsi="Arial" w:cs="Arial"/>
              </w:rPr>
              <w:t>20</w:t>
            </w:r>
            <w:r w:rsidR="00325E68" w:rsidRPr="00325E68">
              <w:rPr>
                <w:rFonts w:ascii="Arial" w:eastAsia="Times New Roman" w:hAnsi="Arial" w:cs="Arial"/>
              </w:rPr>
              <w:t xml:space="preserve"> school year. </w:t>
            </w:r>
          </w:p>
        </w:tc>
      </w:tr>
      <w:tr w:rsidR="0038179B" w:rsidRPr="00325E68" w14:paraId="733D5029" w14:textId="77777777" w:rsidTr="007A0A70">
        <w:trPr>
          <w:tblCellSpacing w:w="15" w:type="dxa"/>
        </w:trPr>
        <w:tc>
          <w:tcPr>
            <w:tcW w:w="751" w:type="pct"/>
            <w:shd w:val="clear" w:color="auto" w:fill="FFFFFF"/>
            <w:tcMar>
              <w:top w:w="120" w:type="dxa"/>
              <w:left w:w="150" w:type="dxa"/>
              <w:bottom w:w="120" w:type="dxa"/>
              <w:right w:w="150" w:type="dxa"/>
            </w:tcMar>
          </w:tcPr>
          <w:p w14:paraId="3DD79337" w14:textId="0E34244C" w:rsidR="0038179B" w:rsidRPr="00325E68" w:rsidRDefault="0038179B" w:rsidP="007A0A70">
            <w:pPr>
              <w:spacing w:after="0" w:line="240" w:lineRule="auto"/>
              <w:rPr>
                <w:rFonts w:ascii="Arial" w:eastAsia="Times New Roman" w:hAnsi="Arial" w:cs="Arial"/>
                <w:b/>
                <w:bCs/>
              </w:rPr>
            </w:pPr>
            <w:r>
              <w:rPr>
                <w:rFonts w:ascii="Arial" w:eastAsia="Times New Roman" w:hAnsi="Arial" w:cs="Arial"/>
                <w:b/>
                <w:bCs/>
              </w:rPr>
              <w:t>Notes</w:t>
            </w:r>
          </w:p>
        </w:tc>
        <w:tc>
          <w:tcPr>
            <w:tcW w:w="4201" w:type="pct"/>
            <w:shd w:val="clear" w:color="auto" w:fill="FFFFFF"/>
            <w:tcMar>
              <w:top w:w="120" w:type="dxa"/>
              <w:left w:w="150" w:type="dxa"/>
              <w:bottom w:w="120" w:type="dxa"/>
              <w:right w:w="150" w:type="dxa"/>
            </w:tcMar>
          </w:tcPr>
          <w:p w14:paraId="57CFF02D" w14:textId="14313EA1" w:rsidR="0038179B" w:rsidRDefault="004E07F3" w:rsidP="007A0A70">
            <w:pPr>
              <w:spacing w:after="0" w:line="240" w:lineRule="auto"/>
              <w:rPr>
                <w:rFonts w:ascii="Arial" w:eastAsia="Times New Roman" w:hAnsi="Arial" w:cs="Arial"/>
              </w:rPr>
            </w:pPr>
            <w:r>
              <w:rPr>
                <w:rFonts w:ascii="Arial" w:eastAsia="Times New Roman" w:hAnsi="Arial" w:cs="Arial"/>
              </w:rPr>
              <w:t xml:space="preserve">Scores of less than 4 are assigned to </w:t>
            </w:r>
            <w:r w:rsidR="001E6E23">
              <w:rPr>
                <w:rFonts w:ascii="Arial" w:eastAsia="Times New Roman" w:hAnsi="Arial" w:cs="Arial"/>
              </w:rPr>
              <w:t>districts</w:t>
            </w:r>
            <w:r>
              <w:rPr>
                <w:rFonts w:ascii="Arial" w:eastAsia="Times New Roman" w:hAnsi="Arial" w:cs="Arial"/>
              </w:rPr>
              <w:t xml:space="preserve"> with IDEA-related audit findings whose reports were released by the Auditor of State by July 1, 20</w:t>
            </w:r>
            <w:r w:rsidR="00C7294A">
              <w:rPr>
                <w:rFonts w:ascii="Arial" w:eastAsia="Times New Roman" w:hAnsi="Arial" w:cs="Arial"/>
              </w:rPr>
              <w:t>2</w:t>
            </w:r>
            <w:r w:rsidR="005E1909">
              <w:rPr>
                <w:rFonts w:ascii="Arial" w:eastAsia="Times New Roman" w:hAnsi="Arial" w:cs="Arial"/>
              </w:rPr>
              <w:t>1</w:t>
            </w:r>
            <w:r>
              <w:rPr>
                <w:rFonts w:ascii="Arial" w:eastAsia="Times New Roman" w:hAnsi="Arial" w:cs="Arial"/>
              </w:rPr>
              <w:t xml:space="preserve">. </w:t>
            </w:r>
          </w:p>
          <w:p w14:paraId="6423BDD8" w14:textId="77777777" w:rsidR="004E07F3" w:rsidRDefault="004E07F3" w:rsidP="007A0A70">
            <w:pPr>
              <w:spacing w:after="0" w:line="240" w:lineRule="auto"/>
              <w:rPr>
                <w:rFonts w:ascii="Arial" w:eastAsia="Times New Roman" w:hAnsi="Arial" w:cs="Arial"/>
              </w:rPr>
            </w:pPr>
          </w:p>
          <w:p w14:paraId="12376C2A" w14:textId="4A36F04B" w:rsidR="004E07F3" w:rsidRPr="00325E68" w:rsidDel="006F4E5F" w:rsidRDefault="004E07F3" w:rsidP="007A0A70">
            <w:pPr>
              <w:spacing w:after="0" w:line="240" w:lineRule="auto"/>
              <w:rPr>
                <w:rFonts w:ascii="Arial" w:eastAsia="Times New Roman" w:hAnsi="Arial" w:cs="Arial"/>
              </w:rPr>
            </w:pPr>
            <w:r w:rsidRPr="00325E68">
              <w:rPr>
                <w:rFonts w:ascii="Arial" w:eastAsia="Times New Roman" w:hAnsi="Arial" w:cs="Arial"/>
              </w:rPr>
              <w:t>Click </w:t>
            </w:r>
            <w:hyperlink r:id="rId11" w:tgtFrame="_blank" w:history="1">
              <w:r w:rsidRPr="00325E68">
                <w:rPr>
                  <w:rFonts w:ascii="Arial" w:eastAsia="Times New Roman" w:hAnsi="Arial" w:cs="Arial"/>
                  <w:color w:val="325D88"/>
                  <w:u w:val="single"/>
                </w:rPr>
                <w:t>here</w:t>
              </w:r>
            </w:hyperlink>
            <w:r w:rsidRPr="00325E68">
              <w:rPr>
                <w:rFonts w:ascii="Arial" w:eastAsia="Times New Roman" w:hAnsi="Arial" w:cs="Arial"/>
              </w:rPr>
              <w:t> for examples of minor, moderate and major audit findings.</w:t>
            </w:r>
          </w:p>
        </w:tc>
      </w:tr>
      <w:tr w:rsidR="00325E68" w:rsidRPr="00325E68" w14:paraId="2CBA0D61" w14:textId="77777777" w:rsidTr="007A0A70">
        <w:trPr>
          <w:tblHeader/>
          <w:tblCellSpacing w:w="15" w:type="dxa"/>
        </w:trPr>
        <w:tc>
          <w:tcPr>
            <w:tcW w:w="751" w:type="pct"/>
            <w:shd w:val="clear" w:color="auto" w:fill="auto"/>
            <w:tcMar>
              <w:top w:w="150" w:type="dxa"/>
              <w:left w:w="270" w:type="dxa"/>
              <w:bottom w:w="150" w:type="dxa"/>
              <w:right w:w="270" w:type="dxa"/>
            </w:tcMar>
            <w:vAlign w:val="bottom"/>
            <w:hideMark/>
          </w:tcPr>
          <w:p w14:paraId="55DF77B8" w14:textId="77777777" w:rsidR="00325E68" w:rsidRPr="00325E68" w:rsidRDefault="00325E68" w:rsidP="007A0A70">
            <w:pPr>
              <w:spacing w:after="0" w:line="240" w:lineRule="auto"/>
              <w:jc w:val="center"/>
              <w:rPr>
                <w:rFonts w:ascii="Arial" w:eastAsia="Times New Roman" w:hAnsi="Arial" w:cs="Arial"/>
                <w:b/>
                <w:bCs/>
              </w:rPr>
            </w:pPr>
            <w:r w:rsidRPr="00325E68">
              <w:rPr>
                <w:rFonts w:ascii="Arial" w:eastAsia="Times New Roman" w:hAnsi="Arial" w:cs="Arial"/>
                <w:b/>
                <w:bCs/>
              </w:rPr>
              <w:t>Audit Points</w:t>
            </w:r>
          </w:p>
        </w:tc>
        <w:tc>
          <w:tcPr>
            <w:tcW w:w="4201" w:type="pct"/>
            <w:shd w:val="clear" w:color="auto" w:fill="auto"/>
            <w:tcMar>
              <w:top w:w="150" w:type="dxa"/>
              <w:left w:w="270" w:type="dxa"/>
              <w:bottom w:w="150" w:type="dxa"/>
              <w:right w:w="270" w:type="dxa"/>
            </w:tcMar>
            <w:vAlign w:val="center"/>
            <w:hideMark/>
          </w:tcPr>
          <w:p w14:paraId="7900BF5B" w14:textId="77777777" w:rsidR="00325E68" w:rsidRPr="00325E68" w:rsidRDefault="00325E68" w:rsidP="007A0A70">
            <w:pPr>
              <w:spacing w:after="0" w:line="240" w:lineRule="auto"/>
              <w:rPr>
                <w:rFonts w:ascii="Arial" w:eastAsia="Times New Roman" w:hAnsi="Arial" w:cs="Arial"/>
                <w:b/>
                <w:bCs/>
              </w:rPr>
            </w:pPr>
            <w:r w:rsidRPr="00325E68">
              <w:rPr>
                <w:rFonts w:ascii="Arial" w:eastAsia="Times New Roman" w:hAnsi="Arial" w:cs="Arial"/>
                <w:b/>
                <w:bCs/>
              </w:rPr>
              <w:t>Criteria</w:t>
            </w:r>
          </w:p>
        </w:tc>
      </w:tr>
      <w:tr w:rsidR="00325E68" w:rsidRPr="00325E68" w14:paraId="6DCB4A1A" w14:textId="77777777" w:rsidTr="007A0A70">
        <w:trPr>
          <w:tblCellSpacing w:w="15" w:type="dxa"/>
        </w:trPr>
        <w:tc>
          <w:tcPr>
            <w:tcW w:w="751" w:type="pct"/>
            <w:shd w:val="clear" w:color="auto" w:fill="F8F5F0"/>
            <w:tcMar>
              <w:top w:w="120" w:type="dxa"/>
              <w:left w:w="150" w:type="dxa"/>
              <w:bottom w:w="120" w:type="dxa"/>
              <w:right w:w="150" w:type="dxa"/>
            </w:tcMar>
            <w:vAlign w:val="center"/>
            <w:hideMark/>
          </w:tcPr>
          <w:p w14:paraId="78A01DDF" w14:textId="77777777" w:rsidR="00325E68" w:rsidRPr="00325E68" w:rsidRDefault="00325E68" w:rsidP="007A0A70">
            <w:pPr>
              <w:spacing w:after="0" w:line="240" w:lineRule="auto"/>
              <w:jc w:val="center"/>
              <w:rPr>
                <w:rFonts w:ascii="Arial" w:eastAsia="Times New Roman" w:hAnsi="Arial" w:cs="Arial"/>
              </w:rPr>
            </w:pPr>
            <w:r w:rsidRPr="00325E68">
              <w:rPr>
                <w:rFonts w:ascii="Arial" w:eastAsia="Times New Roman" w:hAnsi="Arial" w:cs="Arial"/>
              </w:rPr>
              <w:t>4</w:t>
            </w:r>
          </w:p>
        </w:tc>
        <w:tc>
          <w:tcPr>
            <w:tcW w:w="4201" w:type="pct"/>
            <w:shd w:val="clear" w:color="auto" w:fill="F8F5F0"/>
            <w:tcMar>
              <w:top w:w="120" w:type="dxa"/>
              <w:left w:w="150" w:type="dxa"/>
              <w:bottom w:w="120" w:type="dxa"/>
              <w:right w:w="150" w:type="dxa"/>
            </w:tcMar>
            <w:hideMark/>
          </w:tcPr>
          <w:p w14:paraId="31A6F9D6" w14:textId="77777777" w:rsidR="00325E68" w:rsidRPr="00325E68" w:rsidRDefault="00325E68" w:rsidP="007A0A70">
            <w:pPr>
              <w:spacing w:after="0" w:line="240" w:lineRule="auto"/>
              <w:rPr>
                <w:rFonts w:ascii="Arial" w:eastAsia="Times New Roman" w:hAnsi="Arial" w:cs="Arial"/>
              </w:rPr>
            </w:pPr>
            <w:r w:rsidRPr="00325E68">
              <w:rPr>
                <w:rFonts w:ascii="Arial" w:eastAsia="Times New Roman" w:hAnsi="Arial" w:cs="Arial"/>
              </w:rPr>
              <w:t>No IDEA audit findings.</w:t>
            </w:r>
          </w:p>
        </w:tc>
      </w:tr>
      <w:tr w:rsidR="00325E68" w:rsidRPr="00325E68" w14:paraId="1801496D" w14:textId="77777777" w:rsidTr="007A0A70">
        <w:trPr>
          <w:tblCellSpacing w:w="15" w:type="dxa"/>
        </w:trPr>
        <w:tc>
          <w:tcPr>
            <w:tcW w:w="751" w:type="pct"/>
            <w:shd w:val="clear" w:color="auto" w:fill="FFFFFF"/>
            <w:tcMar>
              <w:top w:w="120" w:type="dxa"/>
              <w:left w:w="150" w:type="dxa"/>
              <w:bottom w:w="120" w:type="dxa"/>
              <w:right w:w="150" w:type="dxa"/>
            </w:tcMar>
            <w:vAlign w:val="center"/>
            <w:hideMark/>
          </w:tcPr>
          <w:p w14:paraId="2AE6AC9A" w14:textId="77777777" w:rsidR="00325E68" w:rsidRPr="00325E68" w:rsidRDefault="00325E68" w:rsidP="007A0A70">
            <w:pPr>
              <w:spacing w:after="0" w:line="240" w:lineRule="auto"/>
              <w:jc w:val="center"/>
              <w:rPr>
                <w:rFonts w:ascii="Arial" w:eastAsia="Times New Roman" w:hAnsi="Arial" w:cs="Arial"/>
              </w:rPr>
            </w:pPr>
            <w:r w:rsidRPr="00325E68">
              <w:rPr>
                <w:rFonts w:ascii="Arial" w:eastAsia="Times New Roman" w:hAnsi="Arial" w:cs="Arial"/>
              </w:rPr>
              <w:t>3</w:t>
            </w:r>
          </w:p>
        </w:tc>
        <w:tc>
          <w:tcPr>
            <w:tcW w:w="4201" w:type="pct"/>
            <w:shd w:val="clear" w:color="auto" w:fill="FFFFFF"/>
            <w:tcMar>
              <w:top w:w="120" w:type="dxa"/>
              <w:left w:w="150" w:type="dxa"/>
              <w:bottom w:w="120" w:type="dxa"/>
              <w:right w:w="150" w:type="dxa"/>
            </w:tcMar>
            <w:hideMark/>
          </w:tcPr>
          <w:p w14:paraId="6E784BCF" w14:textId="20D7A33C" w:rsidR="00325E68" w:rsidRPr="00325E68" w:rsidRDefault="00325E68" w:rsidP="007A0A70">
            <w:pPr>
              <w:spacing w:after="0" w:line="240" w:lineRule="auto"/>
              <w:rPr>
                <w:rFonts w:ascii="Arial" w:eastAsia="Times New Roman" w:hAnsi="Arial" w:cs="Arial"/>
              </w:rPr>
            </w:pPr>
            <w:r w:rsidRPr="00325E68">
              <w:rPr>
                <w:rFonts w:ascii="Arial" w:eastAsia="Times New Roman" w:hAnsi="Arial" w:cs="Arial"/>
              </w:rPr>
              <w:t xml:space="preserve">Minor monitoring and/or reporting issues which can be easily remedied by implementing procedures according </w:t>
            </w:r>
            <w:r w:rsidR="008B5BA8">
              <w:rPr>
                <w:rFonts w:ascii="Arial" w:hAnsi="Arial" w:cs="Arial"/>
                <w:sz w:val="21"/>
                <w:szCs w:val="21"/>
              </w:rPr>
              <w:t>to </w:t>
            </w:r>
            <w:hyperlink r:id="rId12" w:history="1">
              <w:r w:rsidR="008B5BA8">
                <w:rPr>
                  <w:rStyle w:val="Hyperlink"/>
                  <w:rFonts w:ascii="Arial" w:hAnsi="Arial" w:cs="Arial"/>
                  <w:sz w:val="21"/>
                  <w:szCs w:val="21"/>
                </w:rPr>
                <w:t>Uniform Guidance</w:t>
              </w:r>
            </w:hyperlink>
            <w:r w:rsidRPr="00325E68">
              <w:rPr>
                <w:rFonts w:ascii="Arial" w:eastAsia="Times New Roman" w:hAnsi="Arial" w:cs="Arial"/>
              </w:rPr>
              <w:t>.</w:t>
            </w:r>
          </w:p>
        </w:tc>
      </w:tr>
      <w:tr w:rsidR="00325E68" w:rsidRPr="00325E68" w14:paraId="3A0EDAFB" w14:textId="77777777" w:rsidTr="007A0A70">
        <w:trPr>
          <w:tblCellSpacing w:w="15" w:type="dxa"/>
        </w:trPr>
        <w:tc>
          <w:tcPr>
            <w:tcW w:w="751" w:type="pct"/>
            <w:shd w:val="clear" w:color="auto" w:fill="F8F5F0"/>
            <w:tcMar>
              <w:top w:w="120" w:type="dxa"/>
              <w:left w:w="150" w:type="dxa"/>
              <w:bottom w:w="120" w:type="dxa"/>
              <w:right w:w="150" w:type="dxa"/>
            </w:tcMar>
            <w:vAlign w:val="center"/>
            <w:hideMark/>
          </w:tcPr>
          <w:p w14:paraId="046A8C94" w14:textId="77777777" w:rsidR="00325E68" w:rsidRPr="00325E68" w:rsidRDefault="00325E68" w:rsidP="007A0A70">
            <w:pPr>
              <w:spacing w:after="0" w:line="240" w:lineRule="auto"/>
              <w:jc w:val="center"/>
              <w:rPr>
                <w:rFonts w:ascii="Arial" w:eastAsia="Times New Roman" w:hAnsi="Arial" w:cs="Arial"/>
              </w:rPr>
            </w:pPr>
            <w:r w:rsidRPr="00325E68">
              <w:rPr>
                <w:rFonts w:ascii="Arial" w:eastAsia="Times New Roman" w:hAnsi="Arial" w:cs="Arial"/>
              </w:rPr>
              <w:t>2</w:t>
            </w:r>
          </w:p>
        </w:tc>
        <w:tc>
          <w:tcPr>
            <w:tcW w:w="4201" w:type="pct"/>
            <w:shd w:val="clear" w:color="auto" w:fill="F8F5F0"/>
            <w:tcMar>
              <w:top w:w="120" w:type="dxa"/>
              <w:left w:w="150" w:type="dxa"/>
              <w:bottom w:w="120" w:type="dxa"/>
              <w:right w:w="150" w:type="dxa"/>
            </w:tcMar>
            <w:hideMark/>
          </w:tcPr>
          <w:p w14:paraId="069FC32A" w14:textId="77777777" w:rsidR="00325E68" w:rsidRPr="00325E68" w:rsidRDefault="00325E68" w:rsidP="007A0A70">
            <w:pPr>
              <w:spacing w:after="0" w:line="240" w:lineRule="auto"/>
              <w:rPr>
                <w:rFonts w:ascii="Arial" w:eastAsia="Times New Roman" w:hAnsi="Arial" w:cs="Arial"/>
              </w:rPr>
            </w:pPr>
            <w:r w:rsidRPr="00325E68">
              <w:rPr>
                <w:rFonts w:ascii="Arial" w:eastAsia="Times New Roman" w:hAnsi="Arial" w:cs="Arial"/>
              </w:rPr>
              <w:t>Moderate documentation and/or reporting issues which would require revision of internal financial processes.</w:t>
            </w:r>
          </w:p>
        </w:tc>
      </w:tr>
      <w:tr w:rsidR="00325E68" w:rsidRPr="00325E68" w14:paraId="70443677" w14:textId="77777777" w:rsidTr="007A0A70">
        <w:trPr>
          <w:tblCellSpacing w:w="15" w:type="dxa"/>
        </w:trPr>
        <w:tc>
          <w:tcPr>
            <w:tcW w:w="751" w:type="pct"/>
            <w:shd w:val="clear" w:color="auto" w:fill="FFFFFF"/>
            <w:tcMar>
              <w:top w:w="120" w:type="dxa"/>
              <w:left w:w="150" w:type="dxa"/>
              <w:bottom w:w="120" w:type="dxa"/>
              <w:right w:w="150" w:type="dxa"/>
            </w:tcMar>
            <w:vAlign w:val="center"/>
            <w:hideMark/>
          </w:tcPr>
          <w:p w14:paraId="66F395EA" w14:textId="77777777" w:rsidR="00325E68" w:rsidRPr="00325E68" w:rsidRDefault="00325E68" w:rsidP="007A0A70">
            <w:pPr>
              <w:spacing w:after="0" w:line="240" w:lineRule="auto"/>
              <w:jc w:val="center"/>
              <w:rPr>
                <w:rFonts w:ascii="Arial" w:eastAsia="Times New Roman" w:hAnsi="Arial" w:cs="Arial"/>
              </w:rPr>
            </w:pPr>
            <w:r w:rsidRPr="00325E68">
              <w:rPr>
                <w:rFonts w:ascii="Arial" w:eastAsia="Times New Roman" w:hAnsi="Arial" w:cs="Arial"/>
              </w:rPr>
              <w:t>1</w:t>
            </w:r>
          </w:p>
        </w:tc>
        <w:tc>
          <w:tcPr>
            <w:tcW w:w="4201" w:type="pct"/>
            <w:shd w:val="clear" w:color="auto" w:fill="FFFFFF"/>
            <w:tcMar>
              <w:top w:w="120" w:type="dxa"/>
              <w:left w:w="150" w:type="dxa"/>
              <w:bottom w:w="120" w:type="dxa"/>
              <w:right w:w="150" w:type="dxa"/>
            </w:tcMar>
            <w:hideMark/>
          </w:tcPr>
          <w:p w14:paraId="29CB1DD5" w14:textId="77777777" w:rsidR="00325E68" w:rsidRPr="00325E68" w:rsidRDefault="00325E68" w:rsidP="007A0A70">
            <w:pPr>
              <w:spacing w:after="0" w:line="240" w:lineRule="auto"/>
              <w:rPr>
                <w:rFonts w:ascii="Arial" w:eastAsia="Times New Roman" w:hAnsi="Arial" w:cs="Arial"/>
              </w:rPr>
            </w:pPr>
            <w:r w:rsidRPr="00325E68">
              <w:rPr>
                <w:rFonts w:ascii="Arial" w:eastAsia="Times New Roman" w:hAnsi="Arial" w:cs="Arial"/>
              </w:rPr>
              <w:t>Major financial tracking issues which would require the initiation of appropriate financial and accounting procedures.</w:t>
            </w:r>
          </w:p>
        </w:tc>
      </w:tr>
      <w:tr w:rsidR="00325E68" w:rsidRPr="00325E68" w14:paraId="674A1249" w14:textId="77777777" w:rsidTr="007A0A70">
        <w:trPr>
          <w:tblCellSpacing w:w="15" w:type="dxa"/>
        </w:trPr>
        <w:tc>
          <w:tcPr>
            <w:tcW w:w="751" w:type="pct"/>
            <w:shd w:val="clear" w:color="auto" w:fill="F8F5F0"/>
            <w:tcMar>
              <w:top w:w="120" w:type="dxa"/>
              <w:left w:w="150" w:type="dxa"/>
              <w:bottom w:w="120" w:type="dxa"/>
              <w:right w:w="150" w:type="dxa"/>
            </w:tcMar>
            <w:vAlign w:val="center"/>
            <w:hideMark/>
          </w:tcPr>
          <w:p w14:paraId="03EA5504" w14:textId="77777777" w:rsidR="00325E68" w:rsidRPr="00325E68" w:rsidRDefault="00325E68" w:rsidP="007A0A70">
            <w:pPr>
              <w:spacing w:after="0" w:line="240" w:lineRule="auto"/>
              <w:jc w:val="center"/>
              <w:rPr>
                <w:rFonts w:ascii="Arial" w:eastAsia="Times New Roman" w:hAnsi="Arial" w:cs="Arial"/>
              </w:rPr>
            </w:pPr>
            <w:r w:rsidRPr="00325E68">
              <w:rPr>
                <w:rFonts w:ascii="Arial" w:eastAsia="Times New Roman" w:hAnsi="Arial" w:cs="Arial"/>
              </w:rPr>
              <w:t>NR</w:t>
            </w:r>
          </w:p>
        </w:tc>
        <w:tc>
          <w:tcPr>
            <w:tcW w:w="4201" w:type="pct"/>
            <w:shd w:val="clear" w:color="auto" w:fill="F8F5F0"/>
            <w:tcMar>
              <w:top w:w="120" w:type="dxa"/>
              <w:left w:w="150" w:type="dxa"/>
              <w:bottom w:w="120" w:type="dxa"/>
              <w:right w:w="150" w:type="dxa"/>
            </w:tcMar>
            <w:hideMark/>
          </w:tcPr>
          <w:p w14:paraId="4FCC2F94" w14:textId="0F2533A4" w:rsidR="00325E68" w:rsidRPr="00325E68" w:rsidRDefault="00325E68" w:rsidP="007A0A70">
            <w:pPr>
              <w:spacing w:after="0" w:line="240" w:lineRule="auto"/>
              <w:rPr>
                <w:rFonts w:ascii="Arial" w:eastAsia="Times New Roman" w:hAnsi="Arial" w:cs="Arial"/>
              </w:rPr>
            </w:pPr>
            <w:r w:rsidRPr="00325E68">
              <w:rPr>
                <w:rFonts w:ascii="Arial" w:eastAsia="Times New Roman" w:hAnsi="Arial" w:cs="Arial"/>
              </w:rPr>
              <w:t>Not audited in </w:t>
            </w:r>
            <w:r w:rsidR="00C7294A">
              <w:rPr>
                <w:rFonts w:ascii="Arial" w:eastAsia="Times New Roman" w:hAnsi="Arial" w:cs="Arial"/>
              </w:rPr>
              <w:t>201</w:t>
            </w:r>
            <w:r w:rsidR="00BF1F35">
              <w:rPr>
                <w:rFonts w:ascii="Arial" w:eastAsia="Times New Roman" w:hAnsi="Arial" w:cs="Arial"/>
              </w:rPr>
              <w:t>9</w:t>
            </w:r>
            <w:r w:rsidR="00C7294A">
              <w:rPr>
                <w:rFonts w:ascii="Arial" w:eastAsia="Times New Roman" w:hAnsi="Arial" w:cs="Arial"/>
              </w:rPr>
              <w:t>-20</w:t>
            </w:r>
            <w:r w:rsidR="00BF1F35">
              <w:rPr>
                <w:rFonts w:ascii="Arial" w:eastAsia="Times New Roman" w:hAnsi="Arial" w:cs="Arial"/>
              </w:rPr>
              <w:t>20</w:t>
            </w:r>
            <w:r w:rsidRPr="00325E68">
              <w:rPr>
                <w:rFonts w:ascii="Arial" w:eastAsia="Times New Roman" w:hAnsi="Arial" w:cs="Arial"/>
              </w:rPr>
              <w:t>.</w:t>
            </w:r>
          </w:p>
        </w:tc>
      </w:tr>
    </w:tbl>
    <w:p w14:paraId="0E1745F0" w14:textId="15D18324" w:rsidR="003F5301" w:rsidRDefault="003F5301" w:rsidP="007A0A70">
      <w:pPr>
        <w:spacing w:before="120" w:after="120" w:line="240" w:lineRule="auto"/>
        <w:rPr>
          <w:rFonts w:ascii="Arial" w:hAnsi="Arial" w:cs="Arial"/>
          <w:b/>
          <w:shd w:val="clear" w:color="auto" w:fill="FFFFFF"/>
        </w:rPr>
      </w:pPr>
    </w:p>
    <w:p w14:paraId="129D1968" w14:textId="77777777" w:rsidR="00144AFF" w:rsidRDefault="00144AFF">
      <w:pPr>
        <w:rPr>
          <w:rFonts w:ascii="Arial" w:hAnsi="Arial" w:cs="Arial"/>
          <w:b/>
          <w:shd w:val="clear" w:color="auto" w:fill="FFFFFF"/>
        </w:rPr>
      </w:pPr>
      <w:r>
        <w:rPr>
          <w:rFonts w:ascii="Arial" w:hAnsi="Arial" w:cs="Arial"/>
          <w:b/>
          <w:shd w:val="clear" w:color="auto" w:fill="FFFFFF"/>
        </w:rPr>
        <w:br w:type="page"/>
      </w:r>
    </w:p>
    <w:p w14:paraId="41687BEC" w14:textId="5842B816" w:rsidR="004B46C1" w:rsidRDefault="004B46C1" w:rsidP="007A0A70">
      <w:pPr>
        <w:spacing w:before="120" w:after="120" w:line="240" w:lineRule="auto"/>
        <w:rPr>
          <w:rFonts w:ascii="Arial" w:hAnsi="Arial" w:cs="Arial"/>
          <w:b/>
          <w:shd w:val="clear" w:color="auto" w:fill="FFFFFF"/>
        </w:rPr>
      </w:pPr>
      <w:r>
        <w:rPr>
          <w:rFonts w:ascii="Arial" w:hAnsi="Arial" w:cs="Arial"/>
          <w:b/>
          <w:shd w:val="clear" w:color="auto" w:fill="FFFFFF"/>
        </w:rPr>
        <w:lastRenderedPageBreak/>
        <w:t>Performance on Results Indicators</w:t>
      </w:r>
    </w:p>
    <w:p w14:paraId="6066E12D" w14:textId="026E6EA3" w:rsidR="004B46C1" w:rsidRPr="004B46C1" w:rsidRDefault="00A96752" w:rsidP="007A0A70">
      <w:pPr>
        <w:spacing w:before="120" w:after="120" w:line="240" w:lineRule="auto"/>
        <w:rPr>
          <w:rFonts w:ascii="Arial" w:eastAsia="Times New Roman" w:hAnsi="Arial" w:cs="Arial"/>
          <w:b/>
        </w:rPr>
      </w:pPr>
      <w:r>
        <w:rPr>
          <w:rFonts w:ascii="Arial" w:eastAsia="Times New Roman" w:hAnsi="Arial" w:cs="Arial"/>
        </w:rPr>
        <w:t>Results indicators were i</w:t>
      </w:r>
      <w:r w:rsidR="004B46C1">
        <w:rPr>
          <w:rFonts w:ascii="Arial" w:eastAsia="Times New Roman" w:hAnsi="Arial" w:cs="Arial"/>
        </w:rPr>
        <w:t>ncluded starting in 201</w:t>
      </w:r>
      <w:r w:rsidR="00D20BEB">
        <w:rPr>
          <w:rFonts w:ascii="Arial" w:eastAsia="Times New Roman" w:hAnsi="Arial" w:cs="Arial"/>
        </w:rPr>
        <w:t>8</w:t>
      </w:r>
      <w:r>
        <w:rPr>
          <w:rFonts w:ascii="Arial" w:eastAsia="Times New Roman" w:hAnsi="Arial" w:cs="Arial"/>
        </w:rPr>
        <w:t xml:space="preserve">. However, due to the ordered school-building closure </w:t>
      </w:r>
      <w:proofErr w:type="gramStart"/>
      <w:r>
        <w:rPr>
          <w:rFonts w:ascii="Arial" w:eastAsia="Times New Roman" w:hAnsi="Arial" w:cs="Arial"/>
        </w:rPr>
        <w:t>as a result of</w:t>
      </w:r>
      <w:proofErr w:type="gramEnd"/>
      <w:r>
        <w:rPr>
          <w:rFonts w:ascii="Arial" w:eastAsia="Times New Roman" w:hAnsi="Arial" w:cs="Arial"/>
        </w:rPr>
        <w:t xml:space="preserve"> the COVID-19 pandemic, statewide testing data is not available for the 2019-2020 school year and will not be included in the 2021 Special Education Ratings.</w:t>
      </w:r>
    </w:p>
    <w:p w14:paraId="2F2D12F4" w14:textId="4C2AEF77" w:rsidR="00191F91" w:rsidRPr="00E86FB7" w:rsidRDefault="00E37553" w:rsidP="007A0A70">
      <w:pPr>
        <w:spacing w:before="120" w:after="120" w:line="240" w:lineRule="auto"/>
        <w:rPr>
          <w:rFonts w:ascii="Arial" w:eastAsia="Times New Roman" w:hAnsi="Arial" w:cs="Arial"/>
          <w:b/>
        </w:rPr>
      </w:pPr>
      <w:r>
        <w:rPr>
          <w:rFonts w:ascii="Arial" w:eastAsia="Times New Roman" w:hAnsi="Arial" w:cs="Arial"/>
          <w:b/>
        </w:rPr>
        <w:t>Federal Graduation Rate (</w:t>
      </w:r>
      <w:r w:rsidR="00191F91">
        <w:rPr>
          <w:rFonts w:ascii="Arial" w:eastAsia="Times New Roman" w:hAnsi="Arial" w:cs="Arial"/>
          <w:b/>
        </w:rPr>
        <w:t>Graduation by Standard Requirements</w:t>
      </w:r>
      <w:r>
        <w:rPr>
          <w:rFonts w:ascii="Arial" w:eastAsia="Times New Roman" w:hAnsi="Arial" w:cs="Arial"/>
        </w:rPr>
        <w:t>)</w:t>
      </w:r>
    </w:p>
    <w:p w14:paraId="6F3CF022" w14:textId="77777777" w:rsidR="00191F91" w:rsidRDefault="00191F91" w:rsidP="007A0A70">
      <w:pPr>
        <w:shd w:val="clear" w:color="auto" w:fill="FFFFFF"/>
        <w:spacing w:before="120" w:after="120" w:line="240" w:lineRule="auto"/>
        <w:rPr>
          <w:rFonts w:ascii="Arial" w:eastAsia="Times New Roman" w:hAnsi="Arial" w:cs="Arial"/>
        </w:rPr>
      </w:pPr>
      <w:r w:rsidRPr="004B46C1">
        <w:rPr>
          <w:rFonts w:ascii="Arial" w:eastAsia="Times New Roman" w:hAnsi="Arial" w:cs="Arial"/>
        </w:rPr>
        <w:t xml:space="preserve">Target: </w:t>
      </w:r>
      <w:r>
        <w:rPr>
          <w:rFonts w:ascii="Arial" w:eastAsia="Times New Roman" w:hAnsi="Arial" w:cs="Arial"/>
        </w:rPr>
        <w:t>TBD</w:t>
      </w:r>
    </w:p>
    <w:tbl>
      <w:tblPr>
        <w:tblW w:w="5000" w:type="pct"/>
        <w:tblCellSpacing w:w="15"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CellMar>
          <w:top w:w="15" w:type="dxa"/>
          <w:left w:w="15" w:type="dxa"/>
          <w:bottom w:w="15" w:type="dxa"/>
          <w:right w:w="15" w:type="dxa"/>
        </w:tblCellMar>
        <w:tblLook w:val="04A0" w:firstRow="1" w:lastRow="0" w:firstColumn="1" w:lastColumn="0" w:noHBand="0" w:noVBand="1"/>
      </w:tblPr>
      <w:tblGrid>
        <w:gridCol w:w="1121"/>
        <w:gridCol w:w="8223"/>
      </w:tblGrid>
      <w:tr w:rsidR="00191F91" w:rsidRPr="004B46C1" w14:paraId="4BE498B7" w14:textId="77777777" w:rsidTr="004F67BB">
        <w:trPr>
          <w:tblHeader/>
          <w:tblCellSpacing w:w="15" w:type="dxa"/>
        </w:trPr>
        <w:tc>
          <w:tcPr>
            <w:tcW w:w="4968" w:type="pct"/>
            <w:gridSpan w:val="2"/>
            <w:shd w:val="clear" w:color="auto" w:fill="auto"/>
            <w:tcMar>
              <w:top w:w="150" w:type="dxa"/>
              <w:left w:w="270" w:type="dxa"/>
              <w:bottom w:w="150" w:type="dxa"/>
              <w:right w:w="270" w:type="dxa"/>
            </w:tcMar>
            <w:hideMark/>
          </w:tcPr>
          <w:p w14:paraId="2774EE3E" w14:textId="0237DA5E" w:rsidR="00191F91" w:rsidRPr="004B46C1" w:rsidRDefault="00191F91" w:rsidP="007A0A70">
            <w:pPr>
              <w:spacing w:after="0" w:line="240" w:lineRule="auto"/>
              <w:rPr>
                <w:rFonts w:ascii="Arial" w:eastAsia="Times New Roman" w:hAnsi="Arial" w:cs="Arial"/>
              </w:rPr>
            </w:pPr>
            <w:r w:rsidRPr="004B46C1">
              <w:rPr>
                <w:rFonts w:ascii="Arial" w:eastAsia="Times New Roman" w:hAnsi="Arial" w:cs="Arial"/>
                <w:b/>
                <w:bCs/>
              </w:rPr>
              <w:t>Percent</w:t>
            </w:r>
            <w:r w:rsidR="00E0388F">
              <w:rPr>
                <w:rFonts w:ascii="Arial" w:eastAsia="Times New Roman" w:hAnsi="Arial" w:cs="Arial"/>
                <w:b/>
                <w:bCs/>
              </w:rPr>
              <w:t>age</w:t>
            </w:r>
            <w:r w:rsidRPr="004B46C1">
              <w:rPr>
                <w:rFonts w:ascii="Arial" w:eastAsia="Times New Roman" w:hAnsi="Arial" w:cs="Arial"/>
                <w:b/>
                <w:bCs/>
              </w:rPr>
              <w:t xml:space="preserve"> of students with disabilities </w:t>
            </w:r>
            <w:r>
              <w:rPr>
                <w:rFonts w:ascii="Arial" w:eastAsia="Times New Roman" w:hAnsi="Arial" w:cs="Arial"/>
                <w:b/>
                <w:bCs/>
              </w:rPr>
              <w:t>graduating by meeting the same requirements as students without disabilities</w:t>
            </w:r>
            <w:r w:rsidRPr="004B46C1">
              <w:rPr>
                <w:rFonts w:ascii="Arial" w:eastAsia="Times New Roman" w:hAnsi="Arial" w:cs="Arial"/>
                <w:b/>
                <w:bCs/>
              </w:rPr>
              <w:t>.</w:t>
            </w:r>
          </w:p>
        </w:tc>
      </w:tr>
      <w:tr w:rsidR="00191F91" w:rsidRPr="004B46C1" w14:paraId="7AF11ED6" w14:textId="77777777" w:rsidTr="004F67BB">
        <w:trPr>
          <w:tblCellSpacing w:w="15" w:type="dxa"/>
        </w:trPr>
        <w:tc>
          <w:tcPr>
            <w:tcW w:w="576" w:type="pct"/>
            <w:shd w:val="clear" w:color="auto" w:fill="FFFFFF"/>
            <w:tcMar>
              <w:top w:w="120" w:type="dxa"/>
              <w:left w:w="150" w:type="dxa"/>
              <w:bottom w:w="120" w:type="dxa"/>
              <w:right w:w="150" w:type="dxa"/>
            </w:tcMar>
            <w:hideMark/>
          </w:tcPr>
          <w:p w14:paraId="1BC38417" w14:textId="77777777" w:rsidR="00191F91" w:rsidRPr="004B46C1" w:rsidRDefault="00191F91" w:rsidP="007A0A70">
            <w:pPr>
              <w:spacing w:after="0" w:line="240" w:lineRule="auto"/>
              <w:rPr>
                <w:rFonts w:ascii="Arial" w:eastAsia="Times New Roman" w:hAnsi="Arial" w:cs="Arial"/>
              </w:rPr>
            </w:pPr>
            <w:r w:rsidRPr="004B46C1">
              <w:rPr>
                <w:rFonts w:ascii="Arial" w:eastAsia="Times New Roman" w:hAnsi="Arial" w:cs="Arial"/>
                <w:b/>
                <w:bCs/>
              </w:rPr>
              <w:t>Data Source</w:t>
            </w:r>
          </w:p>
        </w:tc>
        <w:tc>
          <w:tcPr>
            <w:tcW w:w="4376" w:type="pct"/>
            <w:shd w:val="clear" w:color="auto" w:fill="FFFFFF"/>
            <w:tcMar>
              <w:top w:w="120" w:type="dxa"/>
              <w:left w:w="150" w:type="dxa"/>
              <w:bottom w:w="120" w:type="dxa"/>
              <w:right w:w="150" w:type="dxa"/>
            </w:tcMar>
            <w:vAlign w:val="center"/>
            <w:hideMark/>
          </w:tcPr>
          <w:p w14:paraId="36AF3781" w14:textId="2911A6E8" w:rsidR="00191F91" w:rsidRPr="004B46C1" w:rsidRDefault="006C13E8" w:rsidP="007A0A70">
            <w:pPr>
              <w:spacing w:after="0" w:line="240" w:lineRule="auto"/>
              <w:rPr>
                <w:rFonts w:ascii="Arial" w:eastAsia="Times New Roman" w:hAnsi="Arial" w:cs="Arial"/>
              </w:rPr>
            </w:pPr>
            <w:r>
              <w:rPr>
                <w:rFonts w:ascii="Arial" w:eastAsia="Times New Roman" w:hAnsi="Arial" w:cs="Arial"/>
              </w:rPr>
              <w:t>201</w:t>
            </w:r>
            <w:r w:rsidR="00E0388F">
              <w:rPr>
                <w:rFonts w:ascii="Arial" w:eastAsia="Times New Roman" w:hAnsi="Arial" w:cs="Arial"/>
              </w:rPr>
              <w:t>8</w:t>
            </w:r>
            <w:r>
              <w:rPr>
                <w:rFonts w:ascii="Arial" w:eastAsia="Times New Roman" w:hAnsi="Arial" w:cs="Arial"/>
              </w:rPr>
              <w:t>-201</w:t>
            </w:r>
            <w:r w:rsidR="00E0388F">
              <w:rPr>
                <w:rFonts w:ascii="Arial" w:eastAsia="Times New Roman" w:hAnsi="Arial" w:cs="Arial"/>
              </w:rPr>
              <w:t>9</w:t>
            </w:r>
            <w:r w:rsidR="00033837">
              <w:rPr>
                <w:rFonts w:ascii="Arial" w:eastAsia="Times New Roman" w:hAnsi="Arial" w:cs="Arial"/>
              </w:rPr>
              <w:t xml:space="preserve"> </w:t>
            </w:r>
            <w:r w:rsidR="00191F91">
              <w:rPr>
                <w:rFonts w:ascii="Arial" w:eastAsia="Times New Roman" w:hAnsi="Arial" w:cs="Arial"/>
              </w:rPr>
              <w:t>EMIS Graduation, Assessment, and Student Collections</w:t>
            </w:r>
          </w:p>
        </w:tc>
      </w:tr>
      <w:tr w:rsidR="00191F91" w:rsidRPr="004B46C1" w14:paraId="56F82B6A" w14:textId="77777777" w:rsidTr="004F67BB">
        <w:trPr>
          <w:tblCellSpacing w:w="15" w:type="dxa"/>
        </w:trPr>
        <w:tc>
          <w:tcPr>
            <w:tcW w:w="576" w:type="pct"/>
            <w:shd w:val="clear" w:color="auto" w:fill="FFFFFF"/>
            <w:tcMar>
              <w:top w:w="120" w:type="dxa"/>
              <w:left w:w="150" w:type="dxa"/>
              <w:bottom w:w="120" w:type="dxa"/>
              <w:right w:w="150" w:type="dxa"/>
            </w:tcMar>
            <w:hideMark/>
          </w:tcPr>
          <w:p w14:paraId="0F38E2D1" w14:textId="77777777" w:rsidR="00191F91" w:rsidRPr="004B46C1" w:rsidRDefault="00191F91" w:rsidP="007A0A70">
            <w:pPr>
              <w:spacing w:after="0" w:line="240" w:lineRule="auto"/>
              <w:rPr>
                <w:rFonts w:ascii="Arial" w:eastAsia="Times New Roman" w:hAnsi="Arial" w:cs="Arial"/>
              </w:rPr>
            </w:pPr>
            <w:r w:rsidRPr="004B46C1">
              <w:rPr>
                <w:rFonts w:ascii="Arial" w:eastAsia="Times New Roman" w:hAnsi="Arial" w:cs="Arial"/>
                <w:b/>
                <w:bCs/>
              </w:rPr>
              <w:t>Notes</w:t>
            </w:r>
          </w:p>
        </w:tc>
        <w:tc>
          <w:tcPr>
            <w:tcW w:w="4376" w:type="pct"/>
            <w:shd w:val="clear" w:color="auto" w:fill="FFFFFF"/>
            <w:tcMar>
              <w:top w:w="120" w:type="dxa"/>
              <w:left w:w="150" w:type="dxa"/>
              <w:bottom w:w="120" w:type="dxa"/>
              <w:right w:w="150" w:type="dxa"/>
            </w:tcMar>
            <w:hideMark/>
          </w:tcPr>
          <w:p w14:paraId="14623522" w14:textId="3A87E06E" w:rsidR="00191F91" w:rsidRPr="007A0A70" w:rsidRDefault="00191F91" w:rsidP="00CC14F4">
            <w:pPr>
              <w:pStyle w:val="ListParagraph"/>
              <w:numPr>
                <w:ilvl w:val="1"/>
                <w:numId w:val="26"/>
              </w:numPr>
              <w:spacing w:after="0" w:line="240" w:lineRule="auto"/>
              <w:ind w:left="495"/>
              <w:rPr>
                <w:rFonts w:ascii="Arial" w:eastAsia="Times New Roman" w:hAnsi="Arial" w:cs="Arial"/>
              </w:rPr>
            </w:pPr>
            <w:r w:rsidRPr="007A0A70">
              <w:rPr>
                <w:rFonts w:ascii="Arial" w:eastAsia="Times New Roman" w:hAnsi="Arial" w:cs="Arial"/>
              </w:rPr>
              <w:t xml:space="preserve">This calculation will reflect the number of students with disabilities, ages 14 through 21, who exited school by meeting the same requirements for graduation as their nondisabled peers, divided by the total number of students with disabilities ages 14 through 21 reported as exiting school.  </w:t>
            </w:r>
          </w:p>
          <w:p w14:paraId="567844C8" w14:textId="77777777" w:rsidR="007A0A70" w:rsidRDefault="00191F91" w:rsidP="00CC14F4">
            <w:pPr>
              <w:pStyle w:val="ListParagraph"/>
              <w:numPr>
                <w:ilvl w:val="1"/>
                <w:numId w:val="26"/>
              </w:numPr>
              <w:spacing w:after="0" w:line="240" w:lineRule="auto"/>
              <w:ind w:left="495"/>
              <w:rPr>
                <w:rFonts w:ascii="Arial" w:eastAsia="Times New Roman" w:hAnsi="Arial" w:cs="Arial"/>
              </w:rPr>
            </w:pPr>
            <w:r w:rsidRPr="007A0A70">
              <w:rPr>
                <w:rFonts w:ascii="Arial" w:eastAsia="Times New Roman" w:hAnsi="Arial" w:cs="Arial"/>
              </w:rPr>
              <w:t>Students with disabilities taking alternate assessments, excused from the consequences of the standard high school assessment, or graduating by IEP team decision will be included in the denominator for this calculation, but not the numerator.</w:t>
            </w:r>
          </w:p>
          <w:p w14:paraId="24AB340A" w14:textId="2650DCC4" w:rsidR="00191F91" w:rsidRPr="007A0A70" w:rsidRDefault="00191F91" w:rsidP="00CC14F4">
            <w:pPr>
              <w:pStyle w:val="ListParagraph"/>
              <w:numPr>
                <w:ilvl w:val="1"/>
                <w:numId w:val="26"/>
              </w:numPr>
              <w:spacing w:after="0" w:line="240" w:lineRule="auto"/>
              <w:ind w:left="495"/>
              <w:rPr>
                <w:rFonts w:ascii="Arial" w:eastAsia="Times New Roman" w:hAnsi="Arial" w:cs="Arial"/>
              </w:rPr>
            </w:pPr>
            <w:r w:rsidRPr="007A0A70">
              <w:rPr>
                <w:rFonts w:ascii="Arial" w:eastAsia="Times New Roman" w:hAnsi="Arial" w:cs="Arial"/>
              </w:rPr>
              <w:t xml:space="preserve">Included in the data extraction and calculations are codes from the Student Standing (FS), Special Education Event (GE), Special Education Graduation (FE), Assessment (FA), and Student Detail (FD) files. </w:t>
            </w:r>
          </w:p>
        </w:tc>
      </w:tr>
    </w:tbl>
    <w:p w14:paraId="136AB668" w14:textId="624683A9" w:rsidR="00325E68" w:rsidRPr="00A66D91" w:rsidRDefault="00325E68" w:rsidP="00A718C3">
      <w:pPr>
        <w:spacing w:before="240" w:after="120" w:line="240" w:lineRule="auto"/>
        <w:rPr>
          <w:rFonts w:ascii="Arial" w:eastAsia="Times New Roman" w:hAnsi="Arial" w:cs="Arial"/>
          <w:b/>
        </w:rPr>
      </w:pPr>
      <w:r w:rsidRPr="00A66D91">
        <w:rPr>
          <w:rFonts w:ascii="Arial" w:eastAsia="Times New Roman" w:hAnsi="Arial" w:cs="Arial"/>
          <w:b/>
        </w:rPr>
        <w:t>Ensure Data Security</w:t>
      </w:r>
    </w:p>
    <w:p w14:paraId="7FE4618F" w14:textId="6F87AF87" w:rsidR="00325E68" w:rsidRPr="00A66D91" w:rsidRDefault="00325E68" w:rsidP="007A0A70">
      <w:pPr>
        <w:spacing w:before="120" w:after="120" w:line="240" w:lineRule="auto"/>
        <w:rPr>
          <w:rFonts w:ascii="Arial" w:eastAsia="Times New Roman" w:hAnsi="Arial" w:cs="Arial"/>
        </w:rPr>
      </w:pPr>
      <w:r w:rsidRPr="00A66D91">
        <w:rPr>
          <w:rFonts w:ascii="Arial" w:eastAsia="Times New Roman" w:hAnsi="Arial" w:cs="Arial"/>
        </w:rPr>
        <w:t xml:space="preserve">Each district is responsible to manage the security and local access to its rating report data. The data provided are for district use only and are NOT masked. Reports may contain information for group sizes of </w:t>
      </w:r>
      <w:r w:rsidR="009D463C">
        <w:rPr>
          <w:rFonts w:ascii="Arial" w:eastAsia="Times New Roman" w:hAnsi="Arial" w:cs="Arial"/>
        </w:rPr>
        <w:t>fewer</w:t>
      </w:r>
      <w:r w:rsidR="009D463C" w:rsidRPr="00A66D91">
        <w:rPr>
          <w:rFonts w:ascii="Arial" w:eastAsia="Times New Roman" w:hAnsi="Arial" w:cs="Arial"/>
        </w:rPr>
        <w:t xml:space="preserve"> </w:t>
      </w:r>
      <w:r w:rsidRPr="00A66D91">
        <w:rPr>
          <w:rFonts w:ascii="Arial" w:eastAsia="Times New Roman" w:hAnsi="Arial" w:cs="Arial"/>
        </w:rPr>
        <w:t>than 10 individuals. They are not intended for public distribution. Districts should observe their local policies for security of unmasked data.</w:t>
      </w:r>
    </w:p>
    <w:p w14:paraId="7F12C04B" w14:textId="77777777" w:rsidR="00325E68" w:rsidRPr="00A66D91" w:rsidRDefault="00325E68" w:rsidP="00A718C3">
      <w:pPr>
        <w:spacing w:before="240" w:after="120" w:line="240" w:lineRule="auto"/>
        <w:rPr>
          <w:rFonts w:ascii="Arial" w:hAnsi="Arial" w:cs="Arial"/>
          <w:b/>
        </w:rPr>
      </w:pPr>
      <w:r w:rsidRPr="00A66D91">
        <w:rPr>
          <w:rFonts w:ascii="Arial" w:hAnsi="Arial" w:cs="Arial"/>
          <w:b/>
        </w:rPr>
        <w:t>Appeals Process</w:t>
      </w:r>
    </w:p>
    <w:p w14:paraId="67061275" w14:textId="12B58E02" w:rsidR="00325E68" w:rsidRPr="00A66D91" w:rsidRDefault="00325E68" w:rsidP="007A0A70">
      <w:pPr>
        <w:shd w:val="clear" w:color="auto" w:fill="FFFFFF"/>
        <w:spacing w:before="120" w:after="120" w:line="240" w:lineRule="auto"/>
        <w:rPr>
          <w:rFonts w:ascii="Arial" w:eastAsia="Times New Roman" w:hAnsi="Arial" w:cs="Arial"/>
        </w:rPr>
      </w:pPr>
      <w:r w:rsidRPr="00A66D91">
        <w:rPr>
          <w:rFonts w:ascii="Arial" w:eastAsia="Times New Roman" w:hAnsi="Arial" w:cs="Arial"/>
        </w:rPr>
        <w:t>Districts wishing to appeal their ratings mu</w:t>
      </w:r>
      <w:r w:rsidR="00B619B7" w:rsidRPr="00A66D91">
        <w:rPr>
          <w:rFonts w:ascii="Arial" w:eastAsia="Times New Roman" w:hAnsi="Arial" w:cs="Arial"/>
        </w:rPr>
        <w:t>st submit a completed appeal for</w:t>
      </w:r>
      <w:r w:rsidRPr="00A66D91">
        <w:rPr>
          <w:rFonts w:ascii="Arial" w:eastAsia="Times New Roman" w:hAnsi="Arial" w:cs="Arial"/>
        </w:rPr>
        <w:t>m and supporting documentation by </w:t>
      </w:r>
      <w:r w:rsidR="004A77EC">
        <w:rPr>
          <w:rFonts w:ascii="Arial" w:eastAsia="Times New Roman" w:hAnsi="Arial" w:cs="Arial"/>
          <w:b/>
          <w:bCs/>
        </w:rPr>
        <w:t>August 3</w:t>
      </w:r>
      <w:r w:rsidR="00983005">
        <w:rPr>
          <w:rFonts w:ascii="Arial" w:eastAsia="Times New Roman" w:hAnsi="Arial" w:cs="Arial"/>
          <w:b/>
          <w:bCs/>
        </w:rPr>
        <w:t>1</w:t>
      </w:r>
      <w:r w:rsidR="00055983">
        <w:rPr>
          <w:rFonts w:ascii="Arial" w:eastAsia="Times New Roman" w:hAnsi="Arial" w:cs="Arial"/>
          <w:b/>
          <w:bCs/>
        </w:rPr>
        <w:t xml:space="preserve">, </w:t>
      </w:r>
      <w:r w:rsidR="00242530">
        <w:rPr>
          <w:rFonts w:ascii="Arial" w:eastAsia="Times New Roman" w:hAnsi="Arial" w:cs="Arial"/>
          <w:b/>
          <w:bCs/>
        </w:rPr>
        <w:t>202</w:t>
      </w:r>
      <w:r w:rsidR="004A77EC">
        <w:rPr>
          <w:rFonts w:ascii="Arial" w:eastAsia="Times New Roman" w:hAnsi="Arial" w:cs="Arial"/>
          <w:b/>
          <w:bCs/>
        </w:rPr>
        <w:t>1</w:t>
      </w:r>
      <w:r w:rsidRPr="00A66D91">
        <w:rPr>
          <w:rFonts w:ascii="Arial" w:eastAsia="Times New Roman" w:hAnsi="Arial" w:cs="Arial"/>
        </w:rPr>
        <w:t>.</w:t>
      </w:r>
    </w:p>
    <w:p w14:paraId="46E2C4F0" w14:textId="77777777" w:rsidR="00325E68" w:rsidRPr="00A66D91" w:rsidRDefault="00325E68" w:rsidP="007A0A70">
      <w:pPr>
        <w:shd w:val="clear" w:color="auto" w:fill="FFFFFF"/>
        <w:spacing w:before="120" w:after="120" w:line="240" w:lineRule="auto"/>
        <w:rPr>
          <w:rFonts w:ascii="Arial" w:eastAsia="Times New Roman" w:hAnsi="Arial" w:cs="Arial"/>
        </w:rPr>
      </w:pPr>
      <w:r w:rsidRPr="00A66D91">
        <w:rPr>
          <w:rFonts w:ascii="Arial" w:eastAsia="Times New Roman" w:hAnsi="Arial" w:cs="Arial"/>
        </w:rPr>
        <w:t>Districts or schools considering an appeal may contact the Office for Exceptional Children at </w:t>
      </w:r>
      <w:hyperlink r:id="rId13" w:history="1">
        <w:r w:rsidRPr="00A66D91">
          <w:rPr>
            <w:rFonts w:ascii="Arial" w:eastAsia="Times New Roman" w:hAnsi="Arial" w:cs="Arial"/>
            <w:u w:val="single"/>
          </w:rPr>
          <w:t>determinations@education.ohio.gov</w:t>
        </w:r>
      </w:hyperlink>
      <w:r w:rsidRPr="00A66D91">
        <w:rPr>
          <w:rFonts w:ascii="Arial" w:eastAsia="Times New Roman" w:hAnsi="Arial" w:cs="Arial"/>
        </w:rPr>
        <w:t>.</w:t>
      </w:r>
    </w:p>
    <w:p w14:paraId="26D1C3EA" w14:textId="77777777" w:rsidR="00325E68" w:rsidRPr="00A66D91" w:rsidRDefault="00325E68" w:rsidP="00A718C3">
      <w:pPr>
        <w:spacing w:before="240" w:after="120" w:line="240" w:lineRule="auto"/>
        <w:rPr>
          <w:rFonts w:ascii="Arial" w:hAnsi="Arial" w:cs="Arial"/>
          <w:b/>
        </w:rPr>
      </w:pPr>
      <w:r w:rsidRPr="00A66D91">
        <w:rPr>
          <w:rFonts w:ascii="Arial" w:hAnsi="Arial" w:cs="Arial"/>
          <w:b/>
        </w:rPr>
        <w:t>Public Reporting</w:t>
      </w:r>
    </w:p>
    <w:p w14:paraId="49CFBD77" w14:textId="56BBAF08" w:rsidR="006C3845" w:rsidRPr="006C3845" w:rsidRDefault="00325E68" w:rsidP="007A0A70">
      <w:pPr>
        <w:spacing w:before="120" w:after="120" w:line="240" w:lineRule="auto"/>
        <w:rPr>
          <w:rFonts w:ascii="Arial" w:hAnsi="Arial" w:cs="Arial"/>
        </w:rPr>
      </w:pPr>
      <w:r w:rsidRPr="00A66D91">
        <w:rPr>
          <w:rFonts w:ascii="Arial" w:hAnsi="Arial" w:cs="Arial"/>
          <w:shd w:val="clear" w:color="auto" w:fill="FFFFFF"/>
        </w:rPr>
        <w:t xml:space="preserve">The Ohio Department of Education reports annually to the public on the performance of each district’s special education program, including their Special Education </w:t>
      </w:r>
      <w:r w:rsidR="00F84FEB">
        <w:rPr>
          <w:rFonts w:ascii="Arial" w:hAnsi="Arial" w:cs="Arial"/>
          <w:shd w:val="clear" w:color="auto" w:fill="FFFFFF"/>
        </w:rPr>
        <w:t xml:space="preserve">Indicator Data and Special Education </w:t>
      </w:r>
      <w:r w:rsidRPr="00A66D91">
        <w:rPr>
          <w:rFonts w:ascii="Arial" w:hAnsi="Arial" w:cs="Arial"/>
          <w:shd w:val="clear" w:color="auto" w:fill="FFFFFF"/>
        </w:rPr>
        <w:t>Rating</w:t>
      </w:r>
      <w:r w:rsidR="00F84FEB">
        <w:rPr>
          <w:rFonts w:ascii="Arial" w:hAnsi="Arial" w:cs="Arial"/>
          <w:shd w:val="clear" w:color="auto" w:fill="FFFFFF"/>
        </w:rPr>
        <w:t xml:space="preserve">, </w:t>
      </w:r>
      <w:r w:rsidR="00A54B23">
        <w:rPr>
          <w:rFonts w:ascii="Arial" w:hAnsi="Arial" w:cs="Arial"/>
          <w:shd w:val="clear" w:color="auto" w:fill="FFFFFF"/>
        </w:rPr>
        <w:t xml:space="preserve">on the Department’s </w:t>
      </w:r>
      <w:hyperlink r:id="rId14" w:tgtFrame="_new" w:history="1">
        <w:r w:rsidR="00A54B23">
          <w:rPr>
            <w:rStyle w:val="Hyperlink"/>
            <w:rFonts w:ascii="Arial" w:hAnsi="Arial" w:cs="Arial"/>
            <w:color w:val="4472C4" w:themeColor="accent5"/>
            <w:shd w:val="clear" w:color="auto" w:fill="FFFFFF"/>
          </w:rPr>
          <w:t>website</w:t>
        </w:r>
      </w:hyperlink>
      <w:r w:rsidR="00FD4B4E">
        <w:rPr>
          <w:rFonts w:ascii="Arial" w:hAnsi="Arial" w:cs="Arial"/>
          <w:shd w:val="clear" w:color="auto" w:fill="FFFFFF"/>
        </w:rPr>
        <w:t xml:space="preserve">. The </w:t>
      </w:r>
      <w:r w:rsidR="009E3A33">
        <w:rPr>
          <w:rFonts w:ascii="Arial" w:hAnsi="Arial" w:cs="Arial"/>
          <w:shd w:val="clear" w:color="auto" w:fill="FFFFFF"/>
        </w:rPr>
        <w:t>D</w:t>
      </w:r>
      <w:r w:rsidRPr="00A66D91">
        <w:rPr>
          <w:rFonts w:ascii="Arial" w:hAnsi="Arial" w:cs="Arial"/>
          <w:shd w:val="clear" w:color="auto" w:fill="FFFFFF"/>
        </w:rPr>
        <w:t>epartment will add the 20</w:t>
      </w:r>
      <w:r w:rsidR="00F84FEB">
        <w:rPr>
          <w:rFonts w:ascii="Arial" w:hAnsi="Arial" w:cs="Arial"/>
          <w:shd w:val="clear" w:color="auto" w:fill="FFFFFF"/>
        </w:rPr>
        <w:t>2</w:t>
      </w:r>
      <w:r w:rsidR="00E0388F">
        <w:rPr>
          <w:rFonts w:ascii="Arial" w:hAnsi="Arial" w:cs="Arial"/>
          <w:shd w:val="clear" w:color="auto" w:fill="FFFFFF"/>
        </w:rPr>
        <w:t>1</w:t>
      </w:r>
      <w:r w:rsidRPr="00A66D91">
        <w:rPr>
          <w:rFonts w:ascii="Arial" w:hAnsi="Arial" w:cs="Arial"/>
          <w:shd w:val="clear" w:color="auto" w:fill="FFFFFF"/>
        </w:rPr>
        <w:t xml:space="preserve"> ratings</w:t>
      </w:r>
      <w:r w:rsidR="0007305A" w:rsidRPr="00A66D91">
        <w:rPr>
          <w:rFonts w:ascii="Arial" w:hAnsi="Arial" w:cs="Arial"/>
          <w:shd w:val="clear" w:color="auto" w:fill="FFFFFF"/>
        </w:rPr>
        <w:t xml:space="preserve"> to </w:t>
      </w:r>
      <w:r w:rsidR="00F84FEB">
        <w:rPr>
          <w:rFonts w:ascii="Arial" w:hAnsi="Arial" w:cs="Arial"/>
          <w:shd w:val="clear" w:color="auto" w:fill="FFFFFF"/>
        </w:rPr>
        <w:t xml:space="preserve">the </w:t>
      </w:r>
      <w:r w:rsidR="006135DF">
        <w:rPr>
          <w:rFonts w:ascii="Arial" w:hAnsi="Arial" w:cs="Arial"/>
          <w:shd w:val="clear" w:color="auto" w:fill="FFFFFF"/>
        </w:rPr>
        <w:t>d</w:t>
      </w:r>
      <w:r w:rsidR="00F84FEB">
        <w:rPr>
          <w:rFonts w:ascii="Arial" w:hAnsi="Arial" w:cs="Arial"/>
          <w:shd w:val="clear" w:color="auto" w:fill="FFFFFF"/>
        </w:rPr>
        <w:t>istrict-level Special Education Indicator Data</w:t>
      </w:r>
      <w:r w:rsidR="0007305A" w:rsidRPr="00A66D91">
        <w:rPr>
          <w:rFonts w:ascii="Arial" w:hAnsi="Arial" w:cs="Arial"/>
          <w:shd w:val="clear" w:color="auto" w:fill="FFFFFF"/>
        </w:rPr>
        <w:t xml:space="preserve"> report </w:t>
      </w:r>
      <w:r w:rsidR="0082467E">
        <w:rPr>
          <w:rFonts w:ascii="Arial" w:hAnsi="Arial" w:cs="Arial"/>
          <w:shd w:val="clear" w:color="auto" w:fill="FFFFFF"/>
        </w:rPr>
        <w:t>after the appeals period has concluded</w:t>
      </w:r>
      <w:r w:rsidRPr="00A66D91">
        <w:rPr>
          <w:rFonts w:ascii="Arial" w:hAnsi="Arial" w:cs="Arial"/>
          <w:shd w:val="clear" w:color="auto" w:fill="FFFFFF"/>
        </w:rPr>
        <w:t>.</w:t>
      </w:r>
    </w:p>
    <w:p w14:paraId="580A4543" w14:textId="77777777" w:rsidR="006C3845" w:rsidRPr="006C3845" w:rsidRDefault="006C3845" w:rsidP="007A0A70">
      <w:pPr>
        <w:spacing w:before="120" w:after="120" w:line="240" w:lineRule="auto"/>
        <w:rPr>
          <w:rFonts w:ascii="Arial" w:hAnsi="Arial" w:cs="Arial"/>
        </w:rPr>
      </w:pPr>
    </w:p>
    <w:p w14:paraId="0B2915C3" w14:textId="77777777" w:rsidR="006C3845" w:rsidRPr="006C3845" w:rsidRDefault="006C3845" w:rsidP="007A0A70">
      <w:pPr>
        <w:spacing w:before="120" w:after="120" w:line="240" w:lineRule="auto"/>
        <w:rPr>
          <w:rFonts w:ascii="Arial" w:hAnsi="Arial" w:cs="Arial"/>
        </w:rPr>
      </w:pPr>
    </w:p>
    <w:p w14:paraId="75746A37" w14:textId="77777777" w:rsidR="006C3845" w:rsidRPr="006C3845" w:rsidRDefault="006C3845" w:rsidP="007A0A70">
      <w:pPr>
        <w:spacing w:before="120" w:after="120" w:line="240" w:lineRule="auto"/>
        <w:rPr>
          <w:rFonts w:ascii="Arial" w:hAnsi="Arial" w:cs="Arial"/>
        </w:rPr>
      </w:pPr>
    </w:p>
    <w:p w14:paraId="046EAB6E" w14:textId="0E1BB732" w:rsidR="00325E68" w:rsidRPr="006C3845" w:rsidRDefault="006C3845" w:rsidP="007A0A70">
      <w:pPr>
        <w:tabs>
          <w:tab w:val="left" w:pos="8292"/>
        </w:tabs>
        <w:spacing w:before="120" w:after="120" w:line="240" w:lineRule="auto"/>
        <w:rPr>
          <w:rFonts w:ascii="Arial" w:hAnsi="Arial" w:cs="Arial"/>
        </w:rPr>
      </w:pPr>
      <w:r>
        <w:rPr>
          <w:rFonts w:ascii="Arial" w:hAnsi="Arial" w:cs="Arial"/>
        </w:rPr>
        <w:tab/>
      </w:r>
    </w:p>
    <w:sectPr w:rsidR="00325E68" w:rsidRPr="006C3845" w:rsidSect="00E26B07">
      <w:footerReference w:type="defaul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FC4F" w14:textId="77777777" w:rsidR="00E114E1" w:rsidRDefault="00E114E1" w:rsidP="00E26B07">
      <w:pPr>
        <w:spacing w:after="0" w:line="240" w:lineRule="auto"/>
      </w:pPr>
      <w:r>
        <w:separator/>
      </w:r>
    </w:p>
  </w:endnote>
  <w:endnote w:type="continuationSeparator" w:id="0">
    <w:p w14:paraId="2CB27035" w14:textId="77777777" w:rsidR="00E114E1" w:rsidRDefault="00E114E1" w:rsidP="00E26B07">
      <w:pPr>
        <w:spacing w:after="0" w:line="240" w:lineRule="auto"/>
      </w:pPr>
      <w:r>
        <w:continuationSeparator/>
      </w:r>
    </w:p>
  </w:endnote>
  <w:endnote w:type="continuationNotice" w:id="1">
    <w:p w14:paraId="67D5AF93" w14:textId="77777777" w:rsidR="00E114E1" w:rsidRDefault="00E11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97545109"/>
      <w:docPartObj>
        <w:docPartGallery w:val="Page Numbers (Bottom of Page)"/>
        <w:docPartUnique/>
      </w:docPartObj>
    </w:sdtPr>
    <w:sdtEndPr>
      <w:rPr>
        <w:noProof/>
      </w:rPr>
    </w:sdtEndPr>
    <w:sdtContent>
      <w:p w14:paraId="55F0C0C3" w14:textId="2300B159" w:rsidR="00C7294A" w:rsidRPr="00CA7C3A" w:rsidRDefault="00C7294A" w:rsidP="00E26B07">
        <w:pPr>
          <w:pStyle w:val="Footer"/>
          <w:rPr>
            <w:rFonts w:ascii="Arial" w:hAnsi="Arial" w:cs="Arial"/>
          </w:rPr>
        </w:pPr>
        <w:r w:rsidRPr="00CA7C3A">
          <w:rPr>
            <w:rFonts w:ascii="Arial" w:hAnsi="Arial" w:cs="Arial"/>
          </w:rPr>
          <w:t>Ohio Department of Education</w:t>
        </w:r>
        <w:r w:rsidRPr="00CA7C3A">
          <w:rPr>
            <w:rFonts w:ascii="Arial" w:hAnsi="Arial" w:cs="Arial"/>
          </w:rPr>
          <w:tab/>
          <w:t xml:space="preserve">                    </w:t>
        </w:r>
        <w:r w:rsidRPr="00CA7C3A">
          <w:rPr>
            <w:rFonts w:ascii="Arial" w:hAnsi="Arial" w:cs="Arial"/>
          </w:rPr>
          <w:fldChar w:fldCharType="begin"/>
        </w:r>
        <w:r w:rsidRPr="00CA7C3A">
          <w:rPr>
            <w:rFonts w:ascii="Arial" w:hAnsi="Arial" w:cs="Arial"/>
          </w:rPr>
          <w:instrText xml:space="preserve"> PAGE   \* MERGEFORMAT </w:instrText>
        </w:r>
        <w:r w:rsidRPr="00CA7C3A">
          <w:rPr>
            <w:rFonts w:ascii="Arial" w:hAnsi="Arial" w:cs="Arial"/>
          </w:rPr>
          <w:fldChar w:fldCharType="separate"/>
        </w:r>
        <w:r>
          <w:rPr>
            <w:rFonts w:ascii="Arial" w:hAnsi="Arial" w:cs="Arial"/>
            <w:noProof/>
          </w:rPr>
          <w:t>15</w:t>
        </w:r>
        <w:r w:rsidRPr="00CA7C3A">
          <w:rPr>
            <w:rFonts w:ascii="Arial" w:hAnsi="Arial" w:cs="Arial"/>
            <w:noProof/>
          </w:rPr>
          <w:fldChar w:fldCharType="end"/>
        </w:r>
        <w:r w:rsidRPr="00CA7C3A">
          <w:rPr>
            <w:rFonts w:ascii="Arial" w:hAnsi="Arial" w:cs="Arial"/>
            <w:noProof/>
          </w:rPr>
          <w:tab/>
        </w:r>
        <w:r w:rsidR="00A2036B">
          <w:rPr>
            <w:rFonts w:ascii="Arial" w:hAnsi="Arial" w:cs="Arial"/>
            <w:noProof/>
          </w:rPr>
          <w:t>July</w:t>
        </w:r>
        <w:r>
          <w:rPr>
            <w:rFonts w:ascii="Arial" w:hAnsi="Arial" w:cs="Arial"/>
            <w:noProof/>
          </w:rPr>
          <w:t xml:space="preserve"> 202</w:t>
        </w:r>
        <w:r w:rsidR="00D16E52">
          <w:rPr>
            <w:rFonts w:ascii="Arial" w:hAnsi="Arial" w:cs="Arial"/>
            <w:noProof/>
          </w:rPr>
          <w:t>1</w:t>
        </w:r>
      </w:p>
    </w:sdtContent>
  </w:sdt>
  <w:p w14:paraId="101FD53B" w14:textId="77777777" w:rsidR="00C7294A" w:rsidRDefault="00C7294A" w:rsidP="00CA7C3A">
    <w:pPr>
      <w:pStyle w:val="Footer"/>
      <w:tabs>
        <w:tab w:val="clear" w:pos="4680"/>
        <w:tab w:val="clear" w:pos="9360"/>
        <w:tab w:val="left" w:pos="152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4E95" w14:textId="77777777" w:rsidR="00E114E1" w:rsidRDefault="00E114E1" w:rsidP="00E26B07">
      <w:pPr>
        <w:spacing w:after="0" w:line="240" w:lineRule="auto"/>
      </w:pPr>
      <w:r>
        <w:separator/>
      </w:r>
    </w:p>
  </w:footnote>
  <w:footnote w:type="continuationSeparator" w:id="0">
    <w:p w14:paraId="3C59ACA2" w14:textId="77777777" w:rsidR="00E114E1" w:rsidRDefault="00E114E1" w:rsidP="00E26B07">
      <w:pPr>
        <w:spacing w:after="0" w:line="240" w:lineRule="auto"/>
      </w:pPr>
      <w:r>
        <w:continuationSeparator/>
      </w:r>
    </w:p>
  </w:footnote>
  <w:footnote w:type="continuationNotice" w:id="1">
    <w:p w14:paraId="61BFE6E4" w14:textId="77777777" w:rsidR="00E114E1" w:rsidRDefault="00E114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50F1"/>
    <w:multiLevelType w:val="hybridMultilevel"/>
    <w:tmpl w:val="C3B226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1F02"/>
    <w:multiLevelType w:val="multilevel"/>
    <w:tmpl w:val="6C62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45125"/>
    <w:multiLevelType w:val="multilevel"/>
    <w:tmpl w:val="9406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227D5"/>
    <w:multiLevelType w:val="multilevel"/>
    <w:tmpl w:val="908EF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F66E1"/>
    <w:multiLevelType w:val="multilevel"/>
    <w:tmpl w:val="0C5CA6A6"/>
    <w:lvl w:ilvl="0">
      <w:start w:val="1"/>
      <w:numFmt w:val="lowerLetter"/>
      <w:lvlText w:val="%1."/>
      <w:lvlJc w:val="left"/>
      <w:pPr>
        <w:tabs>
          <w:tab w:val="num" w:pos="720"/>
        </w:tabs>
        <w:ind w:left="720" w:hanging="360"/>
      </w:pPr>
      <w:rPr>
        <w:rFonts w:ascii="Arial" w:hAnsi="Arial" w:cs="Arial" w:hint="default"/>
        <w:sz w:val="22"/>
        <w:szCs w:val="24"/>
      </w:rPr>
    </w:lvl>
    <w:lvl w:ilvl="1">
      <w:start w:val="1"/>
      <w:numFmt w:val="decimal"/>
      <w:lvlText w:val="%2."/>
      <w:lvlJc w:val="left"/>
      <w:pPr>
        <w:ind w:left="1440" w:hanging="360"/>
      </w:pPr>
      <w:rPr>
        <w:rFonts w:ascii="Arial"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A5986"/>
    <w:multiLevelType w:val="multilevel"/>
    <w:tmpl w:val="93DE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FB0D1A"/>
    <w:multiLevelType w:val="hybridMultilevel"/>
    <w:tmpl w:val="8E6A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8028F"/>
    <w:multiLevelType w:val="multilevel"/>
    <w:tmpl w:val="8C76F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B57DB7"/>
    <w:multiLevelType w:val="hybridMultilevel"/>
    <w:tmpl w:val="2F7C17F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23996C09"/>
    <w:multiLevelType w:val="multilevel"/>
    <w:tmpl w:val="C5D8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BC43F7"/>
    <w:multiLevelType w:val="multilevel"/>
    <w:tmpl w:val="485E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E62C4"/>
    <w:multiLevelType w:val="multilevel"/>
    <w:tmpl w:val="8C76F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A256F66"/>
    <w:multiLevelType w:val="multilevel"/>
    <w:tmpl w:val="44BA18E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0664E6"/>
    <w:multiLevelType w:val="hybridMultilevel"/>
    <w:tmpl w:val="1170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46ECC"/>
    <w:multiLevelType w:val="multilevel"/>
    <w:tmpl w:val="4BE4C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91517"/>
    <w:multiLevelType w:val="multilevel"/>
    <w:tmpl w:val="A994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914E3A"/>
    <w:multiLevelType w:val="hybridMultilevel"/>
    <w:tmpl w:val="B5D0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A1831"/>
    <w:multiLevelType w:val="multilevel"/>
    <w:tmpl w:val="6708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B63B4"/>
    <w:multiLevelType w:val="multilevel"/>
    <w:tmpl w:val="5FDC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80412"/>
    <w:multiLevelType w:val="multilevel"/>
    <w:tmpl w:val="4BE4C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A419B"/>
    <w:multiLevelType w:val="multilevel"/>
    <w:tmpl w:val="39BEA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D134BF2"/>
    <w:multiLevelType w:val="multilevel"/>
    <w:tmpl w:val="8ABCC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390322"/>
    <w:multiLevelType w:val="multilevel"/>
    <w:tmpl w:val="DE7A79EA"/>
    <w:lvl w:ilvl="0">
      <w:start w:val="1"/>
      <w:numFmt w:val="lowerLetter"/>
      <w:lvlText w:val="%1."/>
      <w:lvlJc w:val="left"/>
      <w:pPr>
        <w:tabs>
          <w:tab w:val="num" w:pos="720"/>
        </w:tabs>
        <w:ind w:left="720" w:hanging="360"/>
      </w:pPr>
      <w:rPr>
        <w:rFonts w:hint="default"/>
        <w:sz w:val="22"/>
        <w:szCs w:val="24"/>
      </w:rPr>
    </w:lvl>
    <w:lvl w:ilvl="1">
      <w:start w:val="1"/>
      <w:numFmt w:val="decimal"/>
      <w:lvlText w:val="%2."/>
      <w:lvlJc w:val="left"/>
      <w:pPr>
        <w:ind w:left="1440" w:hanging="360"/>
      </w:pPr>
      <w:rPr>
        <w:rFonts w:ascii="Arial"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E97EB6"/>
    <w:multiLevelType w:val="multilevel"/>
    <w:tmpl w:val="B34CF8B8"/>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Arial"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F5194"/>
    <w:multiLevelType w:val="multilevel"/>
    <w:tmpl w:val="39BEA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F5B2209"/>
    <w:multiLevelType w:val="multilevel"/>
    <w:tmpl w:val="4BE4C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1"/>
  </w:num>
  <w:num w:numId="4">
    <w:abstractNumId w:val="10"/>
  </w:num>
  <w:num w:numId="5">
    <w:abstractNumId w:val="9"/>
  </w:num>
  <w:num w:numId="6">
    <w:abstractNumId w:val="15"/>
  </w:num>
  <w:num w:numId="7">
    <w:abstractNumId w:val="12"/>
  </w:num>
  <w:num w:numId="8">
    <w:abstractNumId w:val="17"/>
  </w:num>
  <w:num w:numId="9">
    <w:abstractNumId w:val="5"/>
  </w:num>
  <w:num w:numId="10">
    <w:abstractNumId w:val="21"/>
  </w:num>
  <w:num w:numId="11">
    <w:abstractNumId w:val="11"/>
  </w:num>
  <w:num w:numId="12">
    <w:abstractNumId w:val="20"/>
  </w:num>
  <w:num w:numId="13">
    <w:abstractNumId w:val="16"/>
  </w:num>
  <w:num w:numId="14">
    <w:abstractNumId w:val="8"/>
  </w:num>
  <w:num w:numId="15">
    <w:abstractNumId w:val="0"/>
  </w:num>
  <w:num w:numId="16">
    <w:abstractNumId w:val="13"/>
  </w:num>
  <w:num w:numId="17">
    <w:abstractNumId w:val="6"/>
  </w:num>
  <w:num w:numId="18">
    <w:abstractNumId w:val="3"/>
  </w:num>
  <w:num w:numId="19">
    <w:abstractNumId w:val="24"/>
  </w:num>
  <w:num w:numId="20">
    <w:abstractNumId w:val="4"/>
  </w:num>
  <w:num w:numId="21">
    <w:abstractNumId w:val="7"/>
  </w:num>
  <w:num w:numId="22">
    <w:abstractNumId w:val="14"/>
  </w:num>
  <w:num w:numId="23">
    <w:abstractNumId w:val="23"/>
  </w:num>
  <w:num w:numId="24">
    <w:abstractNumId w:val="22"/>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7"/>
    <w:rsid w:val="000032D0"/>
    <w:rsid w:val="000104E6"/>
    <w:rsid w:val="00021AE2"/>
    <w:rsid w:val="00033837"/>
    <w:rsid w:val="00050398"/>
    <w:rsid w:val="000527F0"/>
    <w:rsid w:val="00055983"/>
    <w:rsid w:val="00057242"/>
    <w:rsid w:val="000621A5"/>
    <w:rsid w:val="0007305A"/>
    <w:rsid w:val="0009272A"/>
    <w:rsid w:val="000A2CA6"/>
    <w:rsid w:val="000B6783"/>
    <w:rsid w:val="000B7DCB"/>
    <w:rsid w:val="000C7EF1"/>
    <w:rsid w:val="000D079D"/>
    <w:rsid w:val="000D2D4E"/>
    <w:rsid w:val="000E5B8E"/>
    <w:rsid w:val="000F3A30"/>
    <w:rsid w:val="00114651"/>
    <w:rsid w:val="00125AAC"/>
    <w:rsid w:val="001300E6"/>
    <w:rsid w:val="00134047"/>
    <w:rsid w:val="00144AFF"/>
    <w:rsid w:val="00147554"/>
    <w:rsid w:val="00155D53"/>
    <w:rsid w:val="00186ACB"/>
    <w:rsid w:val="00191F91"/>
    <w:rsid w:val="00192D1C"/>
    <w:rsid w:val="001A50B0"/>
    <w:rsid w:val="001B42FE"/>
    <w:rsid w:val="001B4C8E"/>
    <w:rsid w:val="001C6BC2"/>
    <w:rsid w:val="001D0B27"/>
    <w:rsid w:val="001E6E23"/>
    <w:rsid w:val="001F2AB5"/>
    <w:rsid w:val="001F3D56"/>
    <w:rsid w:val="001F45FA"/>
    <w:rsid w:val="001F60E8"/>
    <w:rsid w:val="00201C55"/>
    <w:rsid w:val="002040E9"/>
    <w:rsid w:val="002216BE"/>
    <w:rsid w:val="00235D0D"/>
    <w:rsid w:val="00241877"/>
    <w:rsid w:val="00242530"/>
    <w:rsid w:val="00253F45"/>
    <w:rsid w:val="00254D9E"/>
    <w:rsid w:val="00261462"/>
    <w:rsid w:val="00261D45"/>
    <w:rsid w:val="00263576"/>
    <w:rsid w:val="0026785B"/>
    <w:rsid w:val="00267B44"/>
    <w:rsid w:val="002724DD"/>
    <w:rsid w:val="00280741"/>
    <w:rsid w:val="0028609D"/>
    <w:rsid w:val="002873B7"/>
    <w:rsid w:val="002A590E"/>
    <w:rsid w:val="002B19DC"/>
    <w:rsid w:val="002B3924"/>
    <w:rsid w:val="002B7E8E"/>
    <w:rsid w:val="002C2C17"/>
    <w:rsid w:val="002F0CBC"/>
    <w:rsid w:val="002F3985"/>
    <w:rsid w:val="0030295F"/>
    <w:rsid w:val="00306C61"/>
    <w:rsid w:val="0032033E"/>
    <w:rsid w:val="00325E68"/>
    <w:rsid w:val="003406F1"/>
    <w:rsid w:val="00362C7F"/>
    <w:rsid w:val="00374753"/>
    <w:rsid w:val="00375FA9"/>
    <w:rsid w:val="0038179B"/>
    <w:rsid w:val="003842EF"/>
    <w:rsid w:val="003A259A"/>
    <w:rsid w:val="003C1F15"/>
    <w:rsid w:val="003C4385"/>
    <w:rsid w:val="003C7391"/>
    <w:rsid w:val="003D57AD"/>
    <w:rsid w:val="003E0052"/>
    <w:rsid w:val="003E1F9B"/>
    <w:rsid w:val="003E2874"/>
    <w:rsid w:val="003F5301"/>
    <w:rsid w:val="00403295"/>
    <w:rsid w:val="00412A1F"/>
    <w:rsid w:val="004232EF"/>
    <w:rsid w:val="00426122"/>
    <w:rsid w:val="00441303"/>
    <w:rsid w:val="00441924"/>
    <w:rsid w:val="00442888"/>
    <w:rsid w:val="00443918"/>
    <w:rsid w:val="0046088B"/>
    <w:rsid w:val="00480326"/>
    <w:rsid w:val="00492813"/>
    <w:rsid w:val="004939E3"/>
    <w:rsid w:val="00497031"/>
    <w:rsid w:val="00497894"/>
    <w:rsid w:val="004A74B5"/>
    <w:rsid w:val="004A77EC"/>
    <w:rsid w:val="004B46C1"/>
    <w:rsid w:val="004D3120"/>
    <w:rsid w:val="004E07F3"/>
    <w:rsid w:val="004F67BB"/>
    <w:rsid w:val="00504B5F"/>
    <w:rsid w:val="005100CD"/>
    <w:rsid w:val="00531383"/>
    <w:rsid w:val="00541810"/>
    <w:rsid w:val="00542CF0"/>
    <w:rsid w:val="005603C5"/>
    <w:rsid w:val="00571259"/>
    <w:rsid w:val="00592C0B"/>
    <w:rsid w:val="00594DB2"/>
    <w:rsid w:val="005A4B91"/>
    <w:rsid w:val="005B23C3"/>
    <w:rsid w:val="005B4C65"/>
    <w:rsid w:val="005B5C6C"/>
    <w:rsid w:val="005C3F83"/>
    <w:rsid w:val="005C40C7"/>
    <w:rsid w:val="005D2B85"/>
    <w:rsid w:val="005D706C"/>
    <w:rsid w:val="005E1909"/>
    <w:rsid w:val="005E2C61"/>
    <w:rsid w:val="005F2342"/>
    <w:rsid w:val="005F5E1F"/>
    <w:rsid w:val="006068E3"/>
    <w:rsid w:val="006135DF"/>
    <w:rsid w:val="00631B32"/>
    <w:rsid w:val="00636790"/>
    <w:rsid w:val="00647DF8"/>
    <w:rsid w:val="0065260E"/>
    <w:rsid w:val="00652885"/>
    <w:rsid w:val="006556B4"/>
    <w:rsid w:val="00662B51"/>
    <w:rsid w:val="00671FED"/>
    <w:rsid w:val="00680396"/>
    <w:rsid w:val="00681A17"/>
    <w:rsid w:val="00694B45"/>
    <w:rsid w:val="006A6333"/>
    <w:rsid w:val="006B116E"/>
    <w:rsid w:val="006B64A4"/>
    <w:rsid w:val="006C0DDA"/>
    <w:rsid w:val="006C13E8"/>
    <w:rsid w:val="006C1B3A"/>
    <w:rsid w:val="006C3845"/>
    <w:rsid w:val="006D4EF8"/>
    <w:rsid w:val="006D7AA0"/>
    <w:rsid w:val="006F4E5F"/>
    <w:rsid w:val="0074017C"/>
    <w:rsid w:val="007464A9"/>
    <w:rsid w:val="0075210B"/>
    <w:rsid w:val="0076733B"/>
    <w:rsid w:val="00767D30"/>
    <w:rsid w:val="007747CE"/>
    <w:rsid w:val="00780480"/>
    <w:rsid w:val="00792FF0"/>
    <w:rsid w:val="007A0A70"/>
    <w:rsid w:val="007A320D"/>
    <w:rsid w:val="007A710B"/>
    <w:rsid w:val="007B28DA"/>
    <w:rsid w:val="007B7ABF"/>
    <w:rsid w:val="007C1C26"/>
    <w:rsid w:val="007C4CB5"/>
    <w:rsid w:val="007D01A6"/>
    <w:rsid w:val="007F5749"/>
    <w:rsid w:val="00804953"/>
    <w:rsid w:val="008150CB"/>
    <w:rsid w:val="00823C50"/>
    <w:rsid w:val="0082467E"/>
    <w:rsid w:val="00845D3F"/>
    <w:rsid w:val="00856800"/>
    <w:rsid w:val="00874D4D"/>
    <w:rsid w:val="008821D6"/>
    <w:rsid w:val="00893F77"/>
    <w:rsid w:val="008A69C3"/>
    <w:rsid w:val="008A6F8B"/>
    <w:rsid w:val="008B5BA8"/>
    <w:rsid w:val="008B7FB6"/>
    <w:rsid w:val="008C15DF"/>
    <w:rsid w:val="008C1F3D"/>
    <w:rsid w:val="008C5ADB"/>
    <w:rsid w:val="008D5B26"/>
    <w:rsid w:val="008E27A9"/>
    <w:rsid w:val="0090105F"/>
    <w:rsid w:val="00902D60"/>
    <w:rsid w:val="00906473"/>
    <w:rsid w:val="00912278"/>
    <w:rsid w:val="00934560"/>
    <w:rsid w:val="009430A0"/>
    <w:rsid w:val="0094315C"/>
    <w:rsid w:val="00946187"/>
    <w:rsid w:val="00952917"/>
    <w:rsid w:val="00964084"/>
    <w:rsid w:val="00983005"/>
    <w:rsid w:val="009906E8"/>
    <w:rsid w:val="009915C8"/>
    <w:rsid w:val="00993B86"/>
    <w:rsid w:val="0099616D"/>
    <w:rsid w:val="009A2C3E"/>
    <w:rsid w:val="009A68E5"/>
    <w:rsid w:val="009A6EA0"/>
    <w:rsid w:val="009B386A"/>
    <w:rsid w:val="009B5203"/>
    <w:rsid w:val="009C0CAF"/>
    <w:rsid w:val="009C13C0"/>
    <w:rsid w:val="009D119D"/>
    <w:rsid w:val="009D463C"/>
    <w:rsid w:val="009E2211"/>
    <w:rsid w:val="009E3A33"/>
    <w:rsid w:val="00A2036B"/>
    <w:rsid w:val="00A54B23"/>
    <w:rsid w:val="00A66D91"/>
    <w:rsid w:val="00A718C3"/>
    <w:rsid w:val="00A73D0A"/>
    <w:rsid w:val="00A82126"/>
    <w:rsid w:val="00A82645"/>
    <w:rsid w:val="00A82673"/>
    <w:rsid w:val="00A8432A"/>
    <w:rsid w:val="00A96752"/>
    <w:rsid w:val="00AA4956"/>
    <w:rsid w:val="00AB4758"/>
    <w:rsid w:val="00AB5554"/>
    <w:rsid w:val="00AC4A1E"/>
    <w:rsid w:val="00AC7E41"/>
    <w:rsid w:val="00AD7F23"/>
    <w:rsid w:val="00AF1C16"/>
    <w:rsid w:val="00AF1CAC"/>
    <w:rsid w:val="00B255CD"/>
    <w:rsid w:val="00B27E5C"/>
    <w:rsid w:val="00B306F5"/>
    <w:rsid w:val="00B34680"/>
    <w:rsid w:val="00B3658D"/>
    <w:rsid w:val="00B45B90"/>
    <w:rsid w:val="00B57504"/>
    <w:rsid w:val="00B619B7"/>
    <w:rsid w:val="00B63072"/>
    <w:rsid w:val="00B731EE"/>
    <w:rsid w:val="00B82DC0"/>
    <w:rsid w:val="00B91C57"/>
    <w:rsid w:val="00BA3172"/>
    <w:rsid w:val="00BA6573"/>
    <w:rsid w:val="00BC40BC"/>
    <w:rsid w:val="00BD69EB"/>
    <w:rsid w:val="00BD6CBC"/>
    <w:rsid w:val="00BE029A"/>
    <w:rsid w:val="00BE764A"/>
    <w:rsid w:val="00BF1CBD"/>
    <w:rsid w:val="00BF1F35"/>
    <w:rsid w:val="00BF4565"/>
    <w:rsid w:val="00C03FB0"/>
    <w:rsid w:val="00C27EC2"/>
    <w:rsid w:val="00C34EAF"/>
    <w:rsid w:val="00C43A65"/>
    <w:rsid w:val="00C47D6D"/>
    <w:rsid w:val="00C61E79"/>
    <w:rsid w:val="00C70247"/>
    <w:rsid w:val="00C70941"/>
    <w:rsid w:val="00C7294A"/>
    <w:rsid w:val="00C87BFF"/>
    <w:rsid w:val="00C87DE7"/>
    <w:rsid w:val="00CA7C3A"/>
    <w:rsid w:val="00CB53B2"/>
    <w:rsid w:val="00CC14F4"/>
    <w:rsid w:val="00CE07D3"/>
    <w:rsid w:val="00CF5237"/>
    <w:rsid w:val="00D0103F"/>
    <w:rsid w:val="00D12A86"/>
    <w:rsid w:val="00D16E52"/>
    <w:rsid w:val="00D20BEB"/>
    <w:rsid w:val="00D3252E"/>
    <w:rsid w:val="00D34910"/>
    <w:rsid w:val="00D52FB7"/>
    <w:rsid w:val="00D53219"/>
    <w:rsid w:val="00D55222"/>
    <w:rsid w:val="00D608E6"/>
    <w:rsid w:val="00D63E05"/>
    <w:rsid w:val="00D64A85"/>
    <w:rsid w:val="00D77B59"/>
    <w:rsid w:val="00D90674"/>
    <w:rsid w:val="00D940FD"/>
    <w:rsid w:val="00DA6465"/>
    <w:rsid w:val="00DC450B"/>
    <w:rsid w:val="00DC50A8"/>
    <w:rsid w:val="00DD699D"/>
    <w:rsid w:val="00DE4C97"/>
    <w:rsid w:val="00DE548A"/>
    <w:rsid w:val="00E0015C"/>
    <w:rsid w:val="00E0388F"/>
    <w:rsid w:val="00E10709"/>
    <w:rsid w:val="00E114E1"/>
    <w:rsid w:val="00E142D5"/>
    <w:rsid w:val="00E26B07"/>
    <w:rsid w:val="00E342B0"/>
    <w:rsid w:val="00E37553"/>
    <w:rsid w:val="00E46D22"/>
    <w:rsid w:val="00E47407"/>
    <w:rsid w:val="00E721D7"/>
    <w:rsid w:val="00E73FDD"/>
    <w:rsid w:val="00E84143"/>
    <w:rsid w:val="00E86FB7"/>
    <w:rsid w:val="00E9474D"/>
    <w:rsid w:val="00EA4F6B"/>
    <w:rsid w:val="00EB2049"/>
    <w:rsid w:val="00EB6078"/>
    <w:rsid w:val="00EC1BB7"/>
    <w:rsid w:val="00EE02E8"/>
    <w:rsid w:val="00EF06A3"/>
    <w:rsid w:val="00EF1A7F"/>
    <w:rsid w:val="00F05C24"/>
    <w:rsid w:val="00F147D9"/>
    <w:rsid w:val="00F30E01"/>
    <w:rsid w:val="00F42C11"/>
    <w:rsid w:val="00F61B04"/>
    <w:rsid w:val="00F7519E"/>
    <w:rsid w:val="00F818A6"/>
    <w:rsid w:val="00F84B6C"/>
    <w:rsid w:val="00F84FEB"/>
    <w:rsid w:val="00F92BD9"/>
    <w:rsid w:val="00FA02C3"/>
    <w:rsid w:val="00FA75DD"/>
    <w:rsid w:val="00FB7CD4"/>
    <w:rsid w:val="00FC3843"/>
    <w:rsid w:val="00FC7299"/>
    <w:rsid w:val="00FD4B4E"/>
    <w:rsid w:val="00FF1F4E"/>
    <w:rsid w:val="00FF2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98FA"/>
  <w15:chartTrackingRefBased/>
  <w15:docId w15:val="{C129E047-9EE1-4D5E-811A-34FEAA5C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5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07"/>
  </w:style>
  <w:style w:type="paragraph" w:styleId="Footer">
    <w:name w:val="footer"/>
    <w:basedOn w:val="Normal"/>
    <w:link w:val="FooterChar"/>
    <w:uiPriority w:val="99"/>
    <w:unhideWhenUsed/>
    <w:rsid w:val="00E2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07"/>
  </w:style>
  <w:style w:type="paragraph" w:styleId="NormalWeb">
    <w:name w:val="Normal (Web)"/>
    <w:basedOn w:val="Normal"/>
    <w:uiPriority w:val="99"/>
    <w:semiHidden/>
    <w:unhideWhenUsed/>
    <w:rsid w:val="0015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5D53"/>
  </w:style>
  <w:style w:type="character" w:styleId="Hyperlink">
    <w:name w:val="Hyperlink"/>
    <w:basedOn w:val="DefaultParagraphFont"/>
    <w:uiPriority w:val="99"/>
    <w:semiHidden/>
    <w:unhideWhenUsed/>
    <w:rsid w:val="00155D53"/>
    <w:rPr>
      <w:color w:val="0000FF"/>
      <w:u w:val="single"/>
    </w:rPr>
  </w:style>
  <w:style w:type="character" w:styleId="Strong">
    <w:name w:val="Strong"/>
    <w:basedOn w:val="DefaultParagraphFont"/>
    <w:uiPriority w:val="22"/>
    <w:qFormat/>
    <w:rsid w:val="00CA7C3A"/>
    <w:rPr>
      <w:b/>
      <w:bCs/>
    </w:rPr>
  </w:style>
  <w:style w:type="character" w:customStyle="1" w:styleId="hilitedate">
    <w:name w:val="hilitedate"/>
    <w:basedOn w:val="DefaultParagraphFont"/>
    <w:rsid w:val="00D3252E"/>
  </w:style>
  <w:style w:type="character" w:styleId="Emphasis">
    <w:name w:val="Emphasis"/>
    <w:basedOn w:val="DefaultParagraphFont"/>
    <w:uiPriority w:val="20"/>
    <w:qFormat/>
    <w:rsid w:val="00D3252E"/>
    <w:rPr>
      <w:i/>
      <w:iCs/>
    </w:rPr>
  </w:style>
  <w:style w:type="character" w:customStyle="1" w:styleId="Heading3Char">
    <w:name w:val="Heading 3 Char"/>
    <w:basedOn w:val="DefaultParagraphFont"/>
    <w:link w:val="Heading3"/>
    <w:uiPriority w:val="9"/>
    <w:rsid w:val="00325E68"/>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9A6EA0"/>
    <w:rPr>
      <w:sz w:val="16"/>
      <w:szCs w:val="16"/>
    </w:rPr>
  </w:style>
  <w:style w:type="paragraph" w:styleId="CommentText">
    <w:name w:val="annotation text"/>
    <w:basedOn w:val="Normal"/>
    <w:link w:val="CommentTextChar"/>
    <w:uiPriority w:val="99"/>
    <w:semiHidden/>
    <w:unhideWhenUsed/>
    <w:rsid w:val="009A6EA0"/>
    <w:pPr>
      <w:spacing w:line="240" w:lineRule="auto"/>
    </w:pPr>
    <w:rPr>
      <w:sz w:val="20"/>
      <w:szCs w:val="20"/>
    </w:rPr>
  </w:style>
  <w:style w:type="character" w:customStyle="1" w:styleId="CommentTextChar">
    <w:name w:val="Comment Text Char"/>
    <w:basedOn w:val="DefaultParagraphFont"/>
    <w:link w:val="CommentText"/>
    <w:uiPriority w:val="99"/>
    <w:semiHidden/>
    <w:rsid w:val="009A6EA0"/>
    <w:rPr>
      <w:sz w:val="20"/>
      <w:szCs w:val="20"/>
    </w:rPr>
  </w:style>
  <w:style w:type="paragraph" w:styleId="CommentSubject">
    <w:name w:val="annotation subject"/>
    <w:basedOn w:val="CommentText"/>
    <w:next w:val="CommentText"/>
    <w:link w:val="CommentSubjectChar"/>
    <w:uiPriority w:val="99"/>
    <w:semiHidden/>
    <w:unhideWhenUsed/>
    <w:rsid w:val="009A6EA0"/>
    <w:rPr>
      <w:b/>
      <w:bCs/>
    </w:rPr>
  </w:style>
  <w:style w:type="character" w:customStyle="1" w:styleId="CommentSubjectChar">
    <w:name w:val="Comment Subject Char"/>
    <w:basedOn w:val="CommentTextChar"/>
    <w:link w:val="CommentSubject"/>
    <w:uiPriority w:val="99"/>
    <w:semiHidden/>
    <w:rsid w:val="009A6EA0"/>
    <w:rPr>
      <w:b/>
      <w:bCs/>
      <w:sz w:val="20"/>
      <w:szCs w:val="20"/>
    </w:rPr>
  </w:style>
  <w:style w:type="paragraph" w:styleId="BalloonText">
    <w:name w:val="Balloon Text"/>
    <w:basedOn w:val="Normal"/>
    <w:link w:val="BalloonTextChar"/>
    <w:uiPriority w:val="99"/>
    <w:semiHidden/>
    <w:unhideWhenUsed/>
    <w:rsid w:val="009A6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A0"/>
    <w:rPr>
      <w:rFonts w:ascii="Segoe UI" w:hAnsi="Segoe UI" w:cs="Segoe UI"/>
      <w:sz w:val="18"/>
      <w:szCs w:val="18"/>
    </w:rPr>
  </w:style>
  <w:style w:type="character" w:styleId="FollowedHyperlink">
    <w:name w:val="FollowedHyperlink"/>
    <w:basedOn w:val="DefaultParagraphFont"/>
    <w:uiPriority w:val="99"/>
    <w:semiHidden/>
    <w:unhideWhenUsed/>
    <w:rsid w:val="00647DF8"/>
    <w:rPr>
      <w:color w:val="954F72" w:themeColor="followedHyperlink"/>
      <w:u w:val="single"/>
    </w:rPr>
  </w:style>
  <w:style w:type="paragraph" w:styleId="ListParagraph">
    <w:name w:val="List Paragraph"/>
    <w:basedOn w:val="Normal"/>
    <w:uiPriority w:val="34"/>
    <w:qFormat/>
    <w:rsid w:val="00480326"/>
    <w:pPr>
      <w:ind w:left="720"/>
      <w:contextualSpacing/>
    </w:pPr>
  </w:style>
  <w:style w:type="table" w:styleId="TableGrid">
    <w:name w:val="Table Grid"/>
    <w:basedOn w:val="TableNormal"/>
    <w:uiPriority w:val="39"/>
    <w:rsid w:val="00AB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0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3815">
      <w:bodyDiv w:val="1"/>
      <w:marLeft w:val="0"/>
      <w:marRight w:val="0"/>
      <w:marTop w:val="0"/>
      <w:marBottom w:val="0"/>
      <w:divBdr>
        <w:top w:val="none" w:sz="0" w:space="0" w:color="auto"/>
        <w:left w:val="none" w:sz="0" w:space="0" w:color="auto"/>
        <w:bottom w:val="none" w:sz="0" w:space="0" w:color="auto"/>
        <w:right w:val="none" w:sz="0" w:space="0" w:color="auto"/>
      </w:divBdr>
      <w:divsChild>
        <w:div w:id="2033995651">
          <w:marLeft w:val="0"/>
          <w:marRight w:val="0"/>
          <w:marTop w:val="0"/>
          <w:marBottom w:val="0"/>
          <w:divBdr>
            <w:top w:val="none" w:sz="0" w:space="0" w:color="auto"/>
            <w:left w:val="none" w:sz="0" w:space="0" w:color="auto"/>
            <w:bottom w:val="none" w:sz="0" w:space="0" w:color="auto"/>
            <w:right w:val="none" w:sz="0" w:space="0" w:color="auto"/>
          </w:divBdr>
        </w:div>
      </w:divsChild>
    </w:div>
    <w:div w:id="185757442">
      <w:bodyDiv w:val="1"/>
      <w:marLeft w:val="0"/>
      <w:marRight w:val="0"/>
      <w:marTop w:val="0"/>
      <w:marBottom w:val="0"/>
      <w:divBdr>
        <w:top w:val="none" w:sz="0" w:space="0" w:color="auto"/>
        <w:left w:val="none" w:sz="0" w:space="0" w:color="auto"/>
        <w:bottom w:val="none" w:sz="0" w:space="0" w:color="auto"/>
        <w:right w:val="none" w:sz="0" w:space="0" w:color="auto"/>
      </w:divBdr>
      <w:divsChild>
        <w:div w:id="539166230">
          <w:marLeft w:val="0"/>
          <w:marRight w:val="0"/>
          <w:marTop w:val="0"/>
          <w:marBottom w:val="0"/>
          <w:divBdr>
            <w:top w:val="none" w:sz="0" w:space="0" w:color="auto"/>
            <w:left w:val="none" w:sz="0" w:space="0" w:color="auto"/>
            <w:bottom w:val="none" w:sz="0" w:space="0" w:color="auto"/>
            <w:right w:val="none" w:sz="0" w:space="0" w:color="auto"/>
          </w:divBdr>
        </w:div>
        <w:div w:id="1981106040">
          <w:marLeft w:val="0"/>
          <w:marRight w:val="0"/>
          <w:marTop w:val="0"/>
          <w:marBottom w:val="0"/>
          <w:divBdr>
            <w:top w:val="none" w:sz="0" w:space="0" w:color="auto"/>
            <w:left w:val="none" w:sz="0" w:space="0" w:color="auto"/>
            <w:bottom w:val="none" w:sz="0" w:space="0" w:color="auto"/>
            <w:right w:val="none" w:sz="0" w:space="0" w:color="auto"/>
          </w:divBdr>
        </w:div>
      </w:divsChild>
    </w:div>
    <w:div w:id="188685843">
      <w:bodyDiv w:val="1"/>
      <w:marLeft w:val="0"/>
      <w:marRight w:val="0"/>
      <w:marTop w:val="0"/>
      <w:marBottom w:val="0"/>
      <w:divBdr>
        <w:top w:val="none" w:sz="0" w:space="0" w:color="auto"/>
        <w:left w:val="none" w:sz="0" w:space="0" w:color="auto"/>
        <w:bottom w:val="none" w:sz="0" w:space="0" w:color="auto"/>
        <w:right w:val="none" w:sz="0" w:space="0" w:color="auto"/>
      </w:divBdr>
      <w:divsChild>
        <w:div w:id="1491170376">
          <w:marLeft w:val="0"/>
          <w:marRight w:val="0"/>
          <w:marTop w:val="0"/>
          <w:marBottom w:val="0"/>
          <w:divBdr>
            <w:top w:val="none" w:sz="0" w:space="0" w:color="auto"/>
            <w:left w:val="none" w:sz="0" w:space="0" w:color="auto"/>
            <w:bottom w:val="none" w:sz="0" w:space="0" w:color="auto"/>
            <w:right w:val="none" w:sz="0" w:space="0" w:color="auto"/>
          </w:divBdr>
        </w:div>
      </w:divsChild>
    </w:div>
    <w:div w:id="19118990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62">
          <w:marLeft w:val="0"/>
          <w:marRight w:val="0"/>
          <w:marTop w:val="0"/>
          <w:marBottom w:val="0"/>
          <w:divBdr>
            <w:top w:val="none" w:sz="0" w:space="0" w:color="auto"/>
            <w:left w:val="none" w:sz="0" w:space="0" w:color="auto"/>
            <w:bottom w:val="none" w:sz="0" w:space="0" w:color="auto"/>
            <w:right w:val="none" w:sz="0" w:space="0" w:color="auto"/>
          </w:divBdr>
        </w:div>
      </w:divsChild>
    </w:div>
    <w:div w:id="191264950">
      <w:bodyDiv w:val="1"/>
      <w:marLeft w:val="0"/>
      <w:marRight w:val="0"/>
      <w:marTop w:val="0"/>
      <w:marBottom w:val="0"/>
      <w:divBdr>
        <w:top w:val="none" w:sz="0" w:space="0" w:color="auto"/>
        <w:left w:val="none" w:sz="0" w:space="0" w:color="auto"/>
        <w:bottom w:val="none" w:sz="0" w:space="0" w:color="auto"/>
        <w:right w:val="none" w:sz="0" w:space="0" w:color="auto"/>
      </w:divBdr>
      <w:divsChild>
        <w:div w:id="1210721618">
          <w:marLeft w:val="0"/>
          <w:marRight w:val="0"/>
          <w:marTop w:val="0"/>
          <w:marBottom w:val="0"/>
          <w:divBdr>
            <w:top w:val="none" w:sz="0" w:space="0" w:color="auto"/>
            <w:left w:val="none" w:sz="0" w:space="0" w:color="auto"/>
            <w:bottom w:val="none" w:sz="0" w:space="0" w:color="auto"/>
            <w:right w:val="none" w:sz="0" w:space="0" w:color="auto"/>
          </w:divBdr>
          <w:divsChild>
            <w:div w:id="1503736130">
              <w:marLeft w:val="0"/>
              <w:marRight w:val="0"/>
              <w:marTop w:val="0"/>
              <w:marBottom w:val="0"/>
              <w:divBdr>
                <w:top w:val="none" w:sz="0" w:space="0" w:color="auto"/>
                <w:left w:val="none" w:sz="0" w:space="0" w:color="auto"/>
                <w:bottom w:val="none" w:sz="0" w:space="0" w:color="auto"/>
                <w:right w:val="none" w:sz="0" w:space="0" w:color="auto"/>
              </w:divBdr>
            </w:div>
          </w:divsChild>
        </w:div>
        <w:div w:id="1495024605">
          <w:marLeft w:val="0"/>
          <w:marRight w:val="0"/>
          <w:marTop w:val="0"/>
          <w:marBottom w:val="0"/>
          <w:divBdr>
            <w:top w:val="none" w:sz="0" w:space="0" w:color="auto"/>
            <w:left w:val="none" w:sz="0" w:space="0" w:color="auto"/>
            <w:bottom w:val="none" w:sz="0" w:space="0" w:color="auto"/>
            <w:right w:val="none" w:sz="0" w:space="0" w:color="auto"/>
          </w:divBdr>
          <w:divsChild>
            <w:div w:id="1415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8107">
      <w:bodyDiv w:val="1"/>
      <w:marLeft w:val="0"/>
      <w:marRight w:val="0"/>
      <w:marTop w:val="0"/>
      <w:marBottom w:val="0"/>
      <w:divBdr>
        <w:top w:val="none" w:sz="0" w:space="0" w:color="auto"/>
        <w:left w:val="none" w:sz="0" w:space="0" w:color="auto"/>
        <w:bottom w:val="none" w:sz="0" w:space="0" w:color="auto"/>
        <w:right w:val="none" w:sz="0" w:space="0" w:color="auto"/>
      </w:divBdr>
      <w:divsChild>
        <w:div w:id="1521359941">
          <w:marLeft w:val="-225"/>
          <w:marRight w:val="-225"/>
          <w:marTop w:val="0"/>
          <w:marBottom w:val="0"/>
          <w:divBdr>
            <w:top w:val="none" w:sz="0" w:space="0" w:color="auto"/>
            <w:left w:val="none" w:sz="0" w:space="0" w:color="auto"/>
            <w:bottom w:val="none" w:sz="0" w:space="0" w:color="auto"/>
            <w:right w:val="none" w:sz="0" w:space="0" w:color="auto"/>
          </w:divBdr>
          <w:divsChild>
            <w:div w:id="886258985">
              <w:marLeft w:val="0"/>
              <w:marRight w:val="0"/>
              <w:marTop w:val="0"/>
              <w:marBottom w:val="0"/>
              <w:divBdr>
                <w:top w:val="none" w:sz="0" w:space="0" w:color="auto"/>
                <w:left w:val="none" w:sz="0" w:space="0" w:color="auto"/>
                <w:bottom w:val="none" w:sz="0" w:space="0" w:color="auto"/>
                <w:right w:val="none" w:sz="0" w:space="0" w:color="auto"/>
              </w:divBdr>
              <w:divsChild>
                <w:div w:id="39942507">
                  <w:marLeft w:val="-225"/>
                  <w:marRight w:val="-225"/>
                  <w:marTop w:val="0"/>
                  <w:marBottom w:val="0"/>
                  <w:divBdr>
                    <w:top w:val="none" w:sz="0" w:space="0" w:color="auto"/>
                    <w:left w:val="none" w:sz="0" w:space="0" w:color="auto"/>
                    <w:bottom w:val="none" w:sz="0" w:space="0" w:color="auto"/>
                    <w:right w:val="none" w:sz="0" w:space="0" w:color="auto"/>
                  </w:divBdr>
                  <w:divsChild>
                    <w:div w:id="1264461930">
                      <w:marLeft w:val="0"/>
                      <w:marRight w:val="0"/>
                      <w:marTop w:val="0"/>
                      <w:marBottom w:val="0"/>
                      <w:divBdr>
                        <w:top w:val="none" w:sz="0" w:space="0" w:color="auto"/>
                        <w:left w:val="none" w:sz="0" w:space="0" w:color="auto"/>
                        <w:bottom w:val="none" w:sz="0" w:space="0" w:color="auto"/>
                        <w:right w:val="none" w:sz="0" w:space="0" w:color="auto"/>
                      </w:divBdr>
                      <w:divsChild>
                        <w:div w:id="319579769">
                          <w:marLeft w:val="0"/>
                          <w:marRight w:val="0"/>
                          <w:marTop w:val="0"/>
                          <w:marBottom w:val="0"/>
                          <w:divBdr>
                            <w:top w:val="none" w:sz="0" w:space="0" w:color="auto"/>
                            <w:left w:val="none" w:sz="0" w:space="0" w:color="auto"/>
                            <w:bottom w:val="none" w:sz="0" w:space="0" w:color="auto"/>
                            <w:right w:val="none" w:sz="0" w:space="0" w:color="auto"/>
                          </w:divBdr>
                          <w:divsChild>
                            <w:div w:id="409078953">
                              <w:marLeft w:val="0"/>
                              <w:marRight w:val="0"/>
                              <w:marTop w:val="0"/>
                              <w:marBottom w:val="0"/>
                              <w:divBdr>
                                <w:top w:val="none" w:sz="0" w:space="0" w:color="auto"/>
                                <w:left w:val="none" w:sz="0" w:space="0" w:color="auto"/>
                                <w:bottom w:val="none" w:sz="0" w:space="0" w:color="auto"/>
                                <w:right w:val="none" w:sz="0" w:space="0" w:color="auto"/>
                              </w:divBdr>
                            </w:div>
                            <w:div w:id="1712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729948">
      <w:bodyDiv w:val="1"/>
      <w:marLeft w:val="0"/>
      <w:marRight w:val="0"/>
      <w:marTop w:val="0"/>
      <w:marBottom w:val="0"/>
      <w:divBdr>
        <w:top w:val="none" w:sz="0" w:space="0" w:color="auto"/>
        <w:left w:val="none" w:sz="0" w:space="0" w:color="auto"/>
        <w:bottom w:val="none" w:sz="0" w:space="0" w:color="auto"/>
        <w:right w:val="none" w:sz="0" w:space="0" w:color="auto"/>
      </w:divBdr>
      <w:divsChild>
        <w:div w:id="614479817">
          <w:marLeft w:val="0"/>
          <w:marRight w:val="0"/>
          <w:marTop w:val="0"/>
          <w:marBottom w:val="0"/>
          <w:divBdr>
            <w:top w:val="none" w:sz="0" w:space="0" w:color="auto"/>
            <w:left w:val="none" w:sz="0" w:space="0" w:color="auto"/>
            <w:bottom w:val="none" w:sz="0" w:space="0" w:color="auto"/>
            <w:right w:val="none" w:sz="0" w:space="0" w:color="auto"/>
          </w:divBdr>
          <w:divsChild>
            <w:div w:id="1653753688">
              <w:marLeft w:val="0"/>
              <w:marRight w:val="0"/>
              <w:marTop w:val="0"/>
              <w:marBottom w:val="0"/>
              <w:divBdr>
                <w:top w:val="none" w:sz="0" w:space="0" w:color="auto"/>
                <w:left w:val="none" w:sz="0" w:space="0" w:color="auto"/>
                <w:bottom w:val="none" w:sz="0" w:space="0" w:color="auto"/>
                <w:right w:val="none" w:sz="0" w:space="0" w:color="auto"/>
              </w:divBdr>
            </w:div>
          </w:divsChild>
        </w:div>
        <w:div w:id="749037302">
          <w:marLeft w:val="0"/>
          <w:marRight w:val="0"/>
          <w:marTop w:val="0"/>
          <w:marBottom w:val="0"/>
          <w:divBdr>
            <w:top w:val="none" w:sz="0" w:space="0" w:color="auto"/>
            <w:left w:val="none" w:sz="0" w:space="0" w:color="auto"/>
            <w:bottom w:val="none" w:sz="0" w:space="0" w:color="auto"/>
            <w:right w:val="none" w:sz="0" w:space="0" w:color="auto"/>
          </w:divBdr>
          <w:divsChild>
            <w:div w:id="6227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78415">
      <w:bodyDiv w:val="1"/>
      <w:marLeft w:val="0"/>
      <w:marRight w:val="0"/>
      <w:marTop w:val="0"/>
      <w:marBottom w:val="0"/>
      <w:divBdr>
        <w:top w:val="none" w:sz="0" w:space="0" w:color="auto"/>
        <w:left w:val="none" w:sz="0" w:space="0" w:color="auto"/>
        <w:bottom w:val="none" w:sz="0" w:space="0" w:color="auto"/>
        <w:right w:val="none" w:sz="0" w:space="0" w:color="auto"/>
      </w:divBdr>
      <w:divsChild>
        <w:div w:id="882181898">
          <w:marLeft w:val="-225"/>
          <w:marRight w:val="-225"/>
          <w:marTop w:val="0"/>
          <w:marBottom w:val="0"/>
          <w:divBdr>
            <w:top w:val="none" w:sz="0" w:space="0" w:color="auto"/>
            <w:left w:val="none" w:sz="0" w:space="0" w:color="auto"/>
            <w:bottom w:val="none" w:sz="0" w:space="0" w:color="auto"/>
            <w:right w:val="none" w:sz="0" w:space="0" w:color="auto"/>
          </w:divBdr>
          <w:divsChild>
            <w:div w:id="742532587">
              <w:marLeft w:val="0"/>
              <w:marRight w:val="0"/>
              <w:marTop w:val="0"/>
              <w:marBottom w:val="0"/>
              <w:divBdr>
                <w:top w:val="none" w:sz="0" w:space="0" w:color="auto"/>
                <w:left w:val="none" w:sz="0" w:space="0" w:color="auto"/>
                <w:bottom w:val="none" w:sz="0" w:space="0" w:color="auto"/>
                <w:right w:val="none" w:sz="0" w:space="0" w:color="auto"/>
              </w:divBdr>
              <w:divsChild>
                <w:div w:id="1508641670">
                  <w:marLeft w:val="-225"/>
                  <w:marRight w:val="-225"/>
                  <w:marTop w:val="0"/>
                  <w:marBottom w:val="0"/>
                  <w:divBdr>
                    <w:top w:val="none" w:sz="0" w:space="0" w:color="auto"/>
                    <w:left w:val="none" w:sz="0" w:space="0" w:color="auto"/>
                    <w:bottom w:val="none" w:sz="0" w:space="0" w:color="auto"/>
                    <w:right w:val="none" w:sz="0" w:space="0" w:color="auto"/>
                  </w:divBdr>
                  <w:divsChild>
                    <w:div w:id="456725494">
                      <w:marLeft w:val="0"/>
                      <w:marRight w:val="0"/>
                      <w:marTop w:val="0"/>
                      <w:marBottom w:val="0"/>
                      <w:divBdr>
                        <w:top w:val="none" w:sz="0" w:space="0" w:color="auto"/>
                        <w:left w:val="none" w:sz="0" w:space="0" w:color="auto"/>
                        <w:bottom w:val="none" w:sz="0" w:space="0" w:color="auto"/>
                        <w:right w:val="none" w:sz="0" w:space="0" w:color="auto"/>
                      </w:divBdr>
                      <w:divsChild>
                        <w:div w:id="1446345857">
                          <w:marLeft w:val="0"/>
                          <w:marRight w:val="0"/>
                          <w:marTop w:val="0"/>
                          <w:marBottom w:val="0"/>
                          <w:divBdr>
                            <w:top w:val="none" w:sz="0" w:space="0" w:color="auto"/>
                            <w:left w:val="none" w:sz="0" w:space="0" w:color="auto"/>
                            <w:bottom w:val="none" w:sz="0" w:space="0" w:color="auto"/>
                            <w:right w:val="none" w:sz="0" w:space="0" w:color="auto"/>
                          </w:divBdr>
                          <w:divsChild>
                            <w:div w:id="46880343">
                              <w:marLeft w:val="0"/>
                              <w:marRight w:val="0"/>
                              <w:marTop w:val="0"/>
                              <w:marBottom w:val="0"/>
                              <w:divBdr>
                                <w:top w:val="none" w:sz="0" w:space="0" w:color="auto"/>
                                <w:left w:val="none" w:sz="0" w:space="0" w:color="auto"/>
                                <w:bottom w:val="none" w:sz="0" w:space="0" w:color="auto"/>
                                <w:right w:val="none" w:sz="0" w:space="0" w:color="auto"/>
                              </w:divBdr>
                            </w:div>
                            <w:div w:id="15410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96772">
      <w:bodyDiv w:val="1"/>
      <w:marLeft w:val="0"/>
      <w:marRight w:val="0"/>
      <w:marTop w:val="0"/>
      <w:marBottom w:val="0"/>
      <w:divBdr>
        <w:top w:val="none" w:sz="0" w:space="0" w:color="auto"/>
        <w:left w:val="none" w:sz="0" w:space="0" w:color="auto"/>
        <w:bottom w:val="none" w:sz="0" w:space="0" w:color="auto"/>
        <w:right w:val="none" w:sz="0" w:space="0" w:color="auto"/>
      </w:divBdr>
    </w:div>
    <w:div w:id="375618508">
      <w:bodyDiv w:val="1"/>
      <w:marLeft w:val="0"/>
      <w:marRight w:val="0"/>
      <w:marTop w:val="0"/>
      <w:marBottom w:val="0"/>
      <w:divBdr>
        <w:top w:val="none" w:sz="0" w:space="0" w:color="auto"/>
        <w:left w:val="none" w:sz="0" w:space="0" w:color="auto"/>
        <w:bottom w:val="none" w:sz="0" w:space="0" w:color="auto"/>
        <w:right w:val="none" w:sz="0" w:space="0" w:color="auto"/>
      </w:divBdr>
      <w:divsChild>
        <w:div w:id="642349997">
          <w:marLeft w:val="0"/>
          <w:marRight w:val="0"/>
          <w:marTop w:val="0"/>
          <w:marBottom w:val="0"/>
          <w:divBdr>
            <w:top w:val="none" w:sz="0" w:space="0" w:color="auto"/>
            <w:left w:val="none" w:sz="0" w:space="0" w:color="auto"/>
            <w:bottom w:val="none" w:sz="0" w:space="0" w:color="auto"/>
            <w:right w:val="none" w:sz="0" w:space="0" w:color="auto"/>
          </w:divBdr>
        </w:div>
        <w:div w:id="701631843">
          <w:marLeft w:val="0"/>
          <w:marRight w:val="0"/>
          <w:marTop w:val="0"/>
          <w:marBottom w:val="0"/>
          <w:divBdr>
            <w:top w:val="none" w:sz="0" w:space="0" w:color="auto"/>
            <w:left w:val="none" w:sz="0" w:space="0" w:color="auto"/>
            <w:bottom w:val="none" w:sz="0" w:space="0" w:color="auto"/>
            <w:right w:val="none" w:sz="0" w:space="0" w:color="auto"/>
          </w:divBdr>
        </w:div>
      </w:divsChild>
    </w:div>
    <w:div w:id="420374847">
      <w:bodyDiv w:val="1"/>
      <w:marLeft w:val="0"/>
      <w:marRight w:val="0"/>
      <w:marTop w:val="0"/>
      <w:marBottom w:val="0"/>
      <w:divBdr>
        <w:top w:val="none" w:sz="0" w:space="0" w:color="auto"/>
        <w:left w:val="none" w:sz="0" w:space="0" w:color="auto"/>
        <w:bottom w:val="none" w:sz="0" w:space="0" w:color="auto"/>
        <w:right w:val="none" w:sz="0" w:space="0" w:color="auto"/>
      </w:divBdr>
      <w:divsChild>
        <w:div w:id="764574489">
          <w:marLeft w:val="0"/>
          <w:marRight w:val="0"/>
          <w:marTop w:val="0"/>
          <w:marBottom w:val="0"/>
          <w:divBdr>
            <w:top w:val="none" w:sz="0" w:space="0" w:color="auto"/>
            <w:left w:val="none" w:sz="0" w:space="0" w:color="auto"/>
            <w:bottom w:val="none" w:sz="0" w:space="0" w:color="auto"/>
            <w:right w:val="none" w:sz="0" w:space="0" w:color="auto"/>
          </w:divBdr>
          <w:divsChild>
            <w:div w:id="1546867899">
              <w:marLeft w:val="-225"/>
              <w:marRight w:val="-225"/>
              <w:marTop w:val="0"/>
              <w:marBottom w:val="0"/>
              <w:divBdr>
                <w:top w:val="none" w:sz="0" w:space="0" w:color="auto"/>
                <w:left w:val="none" w:sz="0" w:space="0" w:color="auto"/>
                <w:bottom w:val="none" w:sz="0" w:space="0" w:color="auto"/>
                <w:right w:val="none" w:sz="0" w:space="0" w:color="auto"/>
              </w:divBdr>
              <w:divsChild>
                <w:div w:id="3701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6356">
          <w:marLeft w:val="0"/>
          <w:marRight w:val="0"/>
          <w:marTop w:val="0"/>
          <w:marBottom w:val="0"/>
          <w:divBdr>
            <w:top w:val="none" w:sz="0" w:space="8" w:color="DFD7CA"/>
            <w:left w:val="none" w:sz="0" w:space="11" w:color="DFD7CA"/>
            <w:bottom w:val="single" w:sz="12" w:space="8" w:color="DFD7CA"/>
            <w:right w:val="none" w:sz="0" w:space="11" w:color="DFD7CA"/>
          </w:divBdr>
        </w:div>
      </w:divsChild>
    </w:div>
    <w:div w:id="430708154">
      <w:bodyDiv w:val="1"/>
      <w:marLeft w:val="0"/>
      <w:marRight w:val="0"/>
      <w:marTop w:val="0"/>
      <w:marBottom w:val="0"/>
      <w:divBdr>
        <w:top w:val="none" w:sz="0" w:space="0" w:color="auto"/>
        <w:left w:val="none" w:sz="0" w:space="0" w:color="auto"/>
        <w:bottom w:val="none" w:sz="0" w:space="0" w:color="auto"/>
        <w:right w:val="none" w:sz="0" w:space="0" w:color="auto"/>
      </w:divBdr>
      <w:divsChild>
        <w:div w:id="1238133132">
          <w:marLeft w:val="0"/>
          <w:marRight w:val="0"/>
          <w:marTop w:val="0"/>
          <w:marBottom w:val="0"/>
          <w:divBdr>
            <w:top w:val="none" w:sz="0" w:space="0" w:color="auto"/>
            <w:left w:val="none" w:sz="0" w:space="0" w:color="auto"/>
            <w:bottom w:val="none" w:sz="0" w:space="0" w:color="auto"/>
            <w:right w:val="none" w:sz="0" w:space="0" w:color="auto"/>
          </w:divBdr>
          <w:divsChild>
            <w:div w:id="62997093">
              <w:marLeft w:val="0"/>
              <w:marRight w:val="0"/>
              <w:marTop w:val="0"/>
              <w:marBottom w:val="0"/>
              <w:divBdr>
                <w:top w:val="none" w:sz="0" w:space="0" w:color="auto"/>
                <w:left w:val="none" w:sz="0" w:space="0" w:color="auto"/>
                <w:bottom w:val="none" w:sz="0" w:space="0" w:color="auto"/>
                <w:right w:val="none" w:sz="0" w:space="0" w:color="auto"/>
              </w:divBdr>
            </w:div>
          </w:divsChild>
        </w:div>
        <w:div w:id="1678994270">
          <w:marLeft w:val="0"/>
          <w:marRight w:val="0"/>
          <w:marTop w:val="0"/>
          <w:marBottom w:val="0"/>
          <w:divBdr>
            <w:top w:val="none" w:sz="0" w:space="0" w:color="auto"/>
            <w:left w:val="none" w:sz="0" w:space="0" w:color="auto"/>
            <w:bottom w:val="none" w:sz="0" w:space="0" w:color="auto"/>
            <w:right w:val="none" w:sz="0" w:space="0" w:color="auto"/>
          </w:divBdr>
          <w:divsChild>
            <w:div w:id="12750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2777">
      <w:bodyDiv w:val="1"/>
      <w:marLeft w:val="0"/>
      <w:marRight w:val="0"/>
      <w:marTop w:val="0"/>
      <w:marBottom w:val="0"/>
      <w:divBdr>
        <w:top w:val="none" w:sz="0" w:space="0" w:color="auto"/>
        <w:left w:val="none" w:sz="0" w:space="0" w:color="auto"/>
        <w:bottom w:val="none" w:sz="0" w:space="0" w:color="auto"/>
        <w:right w:val="none" w:sz="0" w:space="0" w:color="auto"/>
      </w:divBdr>
      <w:divsChild>
        <w:div w:id="353851692">
          <w:marLeft w:val="0"/>
          <w:marRight w:val="0"/>
          <w:marTop w:val="0"/>
          <w:marBottom w:val="0"/>
          <w:divBdr>
            <w:top w:val="none" w:sz="0" w:space="0" w:color="auto"/>
            <w:left w:val="none" w:sz="0" w:space="0" w:color="auto"/>
            <w:bottom w:val="none" w:sz="0" w:space="0" w:color="auto"/>
            <w:right w:val="none" w:sz="0" w:space="0" w:color="auto"/>
          </w:divBdr>
        </w:div>
      </w:divsChild>
    </w:div>
    <w:div w:id="592013046">
      <w:bodyDiv w:val="1"/>
      <w:marLeft w:val="0"/>
      <w:marRight w:val="0"/>
      <w:marTop w:val="0"/>
      <w:marBottom w:val="0"/>
      <w:divBdr>
        <w:top w:val="none" w:sz="0" w:space="0" w:color="auto"/>
        <w:left w:val="none" w:sz="0" w:space="0" w:color="auto"/>
        <w:bottom w:val="none" w:sz="0" w:space="0" w:color="auto"/>
        <w:right w:val="none" w:sz="0" w:space="0" w:color="auto"/>
      </w:divBdr>
      <w:divsChild>
        <w:div w:id="867529490">
          <w:marLeft w:val="-225"/>
          <w:marRight w:val="-225"/>
          <w:marTop w:val="0"/>
          <w:marBottom w:val="0"/>
          <w:divBdr>
            <w:top w:val="none" w:sz="0" w:space="0" w:color="auto"/>
            <w:left w:val="none" w:sz="0" w:space="0" w:color="auto"/>
            <w:bottom w:val="none" w:sz="0" w:space="0" w:color="auto"/>
            <w:right w:val="none" w:sz="0" w:space="0" w:color="auto"/>
          </w:divBdr>
          <w:divsChild>
            <w:div w:id="1673992542">
              <w:marLeft w:val="0"/>
              <w:marRight w:val="0"/>
              <w:marTop w:val="0"/>
              <w:marBottom w:val="0"/>
              <w:divBdr>
                <w:top w:val="none" w:sz="0" w:space="0" w:color="auto"/>
                <w:left w:val="none" w:sz="0" w:space="0" w:color="auto"/>
                <w:bottom w:val="none" w:sz="0" w:space="0" w:color="auto"/>
                <w:right w:val="none" w:sz="0" w:space="0" w:color="auto"/>
              </w:divBdr>
              <w:divsChild>
                <w:div w:id="217522788">
                  <w:marLeft w:val="-225"/>
                  <w:marRight w:val="-225"/>
                  <w:marTop w:val="0"/>
                  <w:marBottom w:val="0"/>
                  <w:divBdr>
                    <w:top w:val="none" w:sz="0" w:space="0" w:color="auto"/>
                    <w:left w:val="none" w:sz="0" w:space="0" w:color="auto"/>
                    <w:bottom w:val="none" w:sz="0" w:space="0" w:color="auto"/>
                    <w:right w:val="none" w:sz="0" w:space="0" w:color="auto"/>
                  </w:divBdr>
                  <w:divsChild>
                    <w:div w:id="238559071">
                      <w:marLeft w:val="0"/>
                      <w:marRight w:val="0"/>
                      <w:marTop w:val="0"/>
                      <w:marBottom w:val="0"/>
                      <w:divBdr>
                        <w:top w:val="none" w:sz="0" w:space="0" w:color="auto"/>
                        <w:left w:val="none" w:sz="0" w:space="0" w:color="auto"/>
                        <w:bottom w:val="none" w:sz="0" w:space="0" w:color="auto"/>
                        <w:right w:val="none" w:sz="0" w:space="0" w:color="auto"/>
                      </w:divBdr>
                      <w:divsChild>
                        <w:div w:id="1183008279">
                          <w:marLeft w:val="0"/>
                          <w:marRight w:val="0"/>
                          <w:marTop w:val="0"/>
                          <w:marBottom w:val="0"/>
                          <w:divBdr>
                            <w:top w:val="none" w:sz="0" w:space="0" w:color="auto"/>
                            <w:left w:val="none" w:sz="0" w:space="0" w:color="auto"/>
                            <w:bottom w:val="none" w:sz="0" w:space="0" w:color="auto"/>
                            <w:right w:val="none" w:sz="0" w:space="0" w:color="auto"/>
                          </w:divBdr>
                          <w:divsChild>
                            <w:div w:id="255792214">
                              <w:marLeft w:val="0"/>
                              <w:marRight w:val="0"/>
                              <w:marTop w:val="0"/>
                              <w:marBottom w:val="0"/>
                              <w:divBdr>
                                <w:top w:val="none" w:sz="0" w:space="0" w:color="auto"/>
                                <w:left w:val="none" w:sz="0" w:space="0" w:color="auto"/>
                                <w:bottom w:val="none" w:sz="0" w:space="0" w:color="auto"/>
                                <w:right w:val="none" w:sz="0" w:space="0" w:color="auto"/>
                              </w:divBdr>
                            </w:div>
                            <w:div w:id="18064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363529">
      <w:bodyDiv w:val="1"/>
      <w:marLeft w:val="0"/>
      <w:marRight w:val="0"/>
      <w:marTop w:val="0"/>
      <w:marBottom w:val="0"/>
      <w:divBdr>
        <w:top w:val="none" w:sz="0" w:space="0" w:color="auto"/>
        <w:left w:val="none" w:sz="0" w:space="0" w:color="auto"/>
        <w:bottom w:val="none" w:sz="0" w:space="0" w:color="auto"/>
        <w:right w:val="none" w:sz="0" w:space="0" w:color="auto"/>
      </w:divBdr>
      <w:divsChild>
        <w:div w:id="1429078320">
          <w:marLeft w:val="0"/>
          <w:marRight w:val="0"/>
          <w:marTop w:val="0"/>
          <w:marBottom w:val="0"/>
          <w:divBdr>
            <w:top w:val="none" w:sz="0" w:space="0" w:color="auto"/>
            <w:left w:val="none" w:sz="0" w:space="0" w:color="auto"/>
            <w:bottom w:val="none" w:sz="0" w:space="0" w:color="auto"/>
            <w:right w:val="none" w:sz="0" w:space="0" w:color="auto"/>
          </w:divBdr>
          <w:divsChild>
            <w:div w:id="1821382930">
              <w:marLeft w:val="0"/>
              <w:marRight w:val="0"/>
              <w:marTop w:val="0"/>
              <w:marBottom w:val="0"/>
              <w:divBdr>
                <w:top w:val="none" w:sz="0" w:space="0" w:color="auto"/>
                <w:left w:val="none" w:sz="0" w:space="0" w:color="auto"/>
                <w:bottom w:val="none" w:sz="0" w:space="0" w:color="auto"/>
                <w:right w:val="none" w:sz="0" w:space="0" w:color="auto"/>
              </w:divBdr>
            </w:div>
          </w:divsChild>
        </w:div>
        <w:div w:id="1801606554">
          <w:marLeft w:val="0"/>
          <w:marRight w:val="0"/>
          <w:marTop w:val="0"/>
          <w:marBottom w:val="0"/>
          <w:divBdr>
            <w:top w:val="none" w:sz="0" w:space="0" w:color="auto"/>
            <w:left w:val="none" w:sz="0" w:space="0" w:color="auto"/>
            <w:bottom w:val="none" w:sz="0" w:space="0" w:color="auto"/>
            <w:right w:val="none" w:sz="0" w:space="0" w:color="auto"/>
          </w:divBdr>
          <w:divsChild>
            <w:div w:id="371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4949">
      <w:bodyDiv w:val="1"/>
      <w:marLeft w:val="0"/>
      <w:marRight w:val="0"/>
      <w:marTop w:val="0"/>
      <w:marBottom w:val="0"/>
      <w:divBdr>
        <w:top w:val="none" w:sz="0" w:space="0" w:color="auto"/>
        <w:left w:val="none" w:sz="0" w:space="0" w:color="auto"/>
        <w:bottom w:val="none" w:sz="0" w:space="0" w:color="auto"/>
        <w:right w:val="none" w:sz="0" w:space="0" w:color="auto"/>
      </w:divBdr>
      <w:divsChild>
        <w:div w:id="1709716304">
          <w:marLeft w:val="0"/>
          <w:marRight w:val="0"/>
          <w:marTop w:val="0"/>
          <w:marBottom w:val="0"/>
          <w:divBdr>
            <w:top w:val="none" w:sz="0" w:space="0" w:color="auto"/>
            <w:left w:val="none" w:sz="0" w:space="0" w:color="auto"/>
            <w:bottom w:val="none" w:sz="0" w:space="0" w:color="auto"/>
            <w:right w:val="none" w:sz="0" w:space="0" w:color="auto"/>
          </w:divBdr>
          <w:divsChild>
            <w:div w:id="1381709810">
              <w:marLeft w:val="0"/>
              <w:marRight w:val="0"/>
              <w:marTop w:val="0"/>
              <w:marBottom w:val="0"/>
              <w:divBdr>
                <w:top w:val="none" w:sz="0" w:space="0" w:color="auto"/>
                <w:left w:val="none" w:sz="0" w:space="0" w:color="auto"/>
                <w:bottom w:val="none" w:sz="0" w:space="0" w:color="auto"/>
                <w:right w:val="none" w:sz="0" w:space="0" w:color="auto"/>
              </w:divBdr>
            </w:div>
          </w:divsChild>
        </w:div>
        <w:div w:id="1732267099">
          <w:marLeft w:val="0"/>
          <w:marRight w:val="0"/>
          <w:marTop w:val="0"/>
          <w:marBottom w:val="0"/>
          <w:divBdr>
            <w:top w:val="none" w:sz="0" w:space="0" w:color="auto"/>
            <w:left w:val="none" w:sz="0" w:space="0" w:color="auto"/>
            <w:bottom w:val="none" w:sz="0" w:space="0" w:color="auto"/>
            <w:right w:val="none" w:sz="0" w:space="0" w:color="auto"/>
          </w:divBdr>
          <w:divsChild>
            <w:div w:id="1639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367">
      <w:bodyDiv w:val="1"/>
      <w:marLeft w:val="0"/>
      <w:marRight w:val="0"/>
      <w:marTop w:val="0"/>
      <w:marBottom w:val="0"/>
      <w:divBdr>
        <w:top w:val="none" w:sz="0" w:space="0" w:color="auto"/>
        <w:left w:val="none" w:sz="0" w:space="0" w:color="auto"/>
        <w:bottom w:val="none" w:sz="0" w:space="0" w:color="auto"/>
        <w:right w:val="none" w:sz="0" w:space="0" w:color="auto"/>
      </w:divBdr>
      <w:divsChild>
        <w:div w:id="1169564409">
          <w:marLeft w:val="0"/>
          <w:marRight w:val="0"/>
          <w:marTop w:val="0"/>
          <w:marBottom w:val="0"/>
          <w:divBdr>
            <w:top w:val="none" w:sz="0" w:space="0" w:color="auto"/>
            <w:left w:val="none" w:sz="0" w:space="0" w:color="auto"/>
            <w:bottom w:val="none" w:sz="0" w:space="0" w:color="auto"/>
            <w:right w:val="none" w:sz="0" w:space="0" w:color="auto"/>
          </w:divBdr>
        </w:div>
        <w:div w:id="1756779588">
          <w:marLeft w:val="0"/>
          <w:marRight w:val="0"/>
          <w:marTop w:val="0"/>
          <w:marBottom w:val="0"/>
          <w:divBdr>
            <w:top w:val="none" w:sz="0" w:space="0" w:color="auto"/>
            <w:left w:val="none" w:sz="0" w:space="0" w:color="auto"/>
            <w:bottom w:val="none" w:sz="0" w:space="0" w:color="auto"/>
            <w:right w:val="none" w:sz="0" w:space="0" w:color="auto"/>
          </w:divBdr>
        </w:div>
      </w:divsChild>
    </w:div>
    <w:div w:id="1048919566">
      <w:bodyDiv w:val="1"/>
      <w:marLeft w:val="0"/>
      <w:marRight w:val="0"/>
      <w:marTop w:val="0"/>
      <w:marBottom w:val="0"/>
      <w:divBdr>
        <w:top w:val="none" w:sz="0" w:space="0" w:color="auto"/>
        <w:left w:val="none" w:sz="0" w:space="0" w:color="auto"/>
        <w:bottom w:val="none" w:sz="0" w:space="0" w:color="auto"/>
        <w:right w:val="none" w:sz="0" w:space="0" w:color="auto"/>
      </w:divBdr>
      <w:divsChild>
        <w:div w:id="16660112">
          <w:marLeft w:val="0"/>
          <w:marRight w:val="0"/>
          <w:marTop w:val="0"/>
          <w:marBottom w:val="0"/>
          <w:divBdr>
            <w:top w:val="none" w:sz="0" w:space="0" w:color="auto"/>
            <w:left w:val="none" w:sz="0" w:space="0" w:color="auto"/>
            <w:bottom w:val="none" w:sz="0" w:space="0" w:color="auto"/>
            <w:right w:val="none" w:sz="0" w:space="0" w:color="auto"/>
          </w:divBdr>
          <w:divsChild>
            <w:div w:id="795486678">
              <w:marLeft w:val="0"/>
              <w:marRight w:val="0"/>
              <w:marTop w:val="0"/>
              <w:marBottom w:val="0"/>
              <w:divBdr>
                <w:top w:val="none" w:sz="0" w:space="0" w:color="auto"/>
                <w:left w:val="none" w:sz="0" w:space="0" w:color="auto"/>
                <w:bottom w:val="none" w:sz="0" w:space="0" w:color="auto"/>
                <w:right w:val="none" w:sz="0" w:space="0" w:color="auto"/>
              </w:divBdr>
            </w:div>
          </w:divsChild>
        </w:div>
        <w:div w:id="1439367933">
          <w:marLeft w:val="0"/>
          <w:marRight w:val="0"/>
          <w:marTop w:val="0"/>
          <w:marBottom w:val="0"/>
          <w:divBdr>
            <w:top w:val="none" w:sz="0" w:space="0" w:color="auto"/>
            <w:left w:val="none" w:sz="0" w:space="0" w:color="auto"/>
            <w:bottom w:val="none" w:sz="0" w:space="0" w:color="auto"/>
            <w:right w:val="none" w:sz="0" w:space="0" w:color="auto"/>
          </w:divBdr>
          <w:divsChild>
            <w:div w:id="9711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9090">
      <w:bodyDiv w:val="1"/>
      <w:marLeft w:val="0"/>
      <w:marRight w:val="0"/>
      <w:marTop w:val="0"/>
      <w:marBottom w:val="0"/>
      <w:divBdr>
        <w:top w:val="none" w:sz="0" w:space="0" w:color="auto"/>
        <w:left w:val="none" w:sz="0" w:space="0" w:color="auto"/>
        <w:bottom w:val="none" w:sz="0" w:space="0" w:color="auto"/>
        <w:right w:val="none" w:sz="0" w:space="0" w:color="auto"/>
      </w:divBdr>
      <w:divsChild>
        <w:div w:id="543714506">
          <w:marLeft w:val="-225"/>
          <w:marRight w:val="-225"/>
          <w:marTop w:val="0"/>
          <w:marBottom w:val="30"/>
          <w:divBdr>
            <w:top w:val="none" w:sz="0" w:space="0" w:color="auto"/>
            <w:left w:val="none" w:sz="0" w:space="0" w:color="auto"/>
            <w:bottom w:val="none" w:sz="0" w:space="0" w:color="auto"/>
            <w:right w:val="none" w:sz="0" w:space="0" w:color="auto"/>
          </w:divBdr>
          <w:divsChild>
            <w:div w:id="118039140">
              <w:marLeft w:val="0"/>
              <w:marRight w:val="0"/>
              <w:marTop w:val="0"/>
              <w:marBottom w:val="0"/>
              <w:divBdr>
                <w:top w:val="none" w:sz="0" w:space="0" w:color="auto"/>
                <w:left w:val="none" w:sz="0" w:space="0" w:color="auto"/>
                <w:bottom w:val="none" w:sz="0" w:space="0" w:color="auto"/>
                <w:right w:val="none" w:sz="0" w:space="0" w:color="auto"/>
              </w:divBdr>
              <w:divsChild>
                <w:div w:id="464355110">
                  <w:marLeft w:val="0"/>
                  <w:marRight w:val="0"/>
                  <w:marTop w:val="0"/>
                  <w:marBottom w:val="0"/>
                  <w:divBdr>
                    <w:top w:val="none" w:sz="0" w:space="0" w:color="auto"/>
                    <w:left w:val="none" w:sz="0" w:space="0" w:color="auto"/>
                    <w:bottom w:val="none" w:sz="0" w:space="0" w:color="auto"/>
                    <w:right w:val="none" w:sz="0" w:space="0" w:color="auto"/>
                  </w:divBdr>
                </w:div>
              </w:divsChild>
            </w:div>
            <w:div w:id="1469972669">
              <w:marLeft w:val="0"/>
              <w:marRight w:val="0"/>
              <w:marTop w:val="0"/>
              <w:marBottom w:val="0"/>
              <w:divBdr>
                <w:top w:val="none" w:sz="0" w:space="0" w:color="auto"/>
                <w:left w:val="none" w:sz="0" w:space="0" w:color="auto"/>
                <w:bottom w:val="none" w:sz="0" w:space="0" w:color="auto"/>
                <w:right w:val="none" w:sz="0" w:space="0" w:color="auto"/>
              </w:divBdr>
              <w:divsChild>
                <w:div w:id="1647582976">
                  <w:marLeft w:val="0"/>
                  <w:marRight w:val="0"/>
                  <w:marTop w:val="0"/>
                  <w:marBottom w:val="0"/>
                  <w:divBdr>
                    <w:top w:val="none" w:sz="0" w:space="0" w:color="auto"/>
                    <w:left w:val="none" w:sz="0" w:space="0" w:color="auto"/>
                    <w:bottom w:val="none" w:sz="0" w:space="0" w:color="auto"/>
                    <w:right w:val="none" w:sz="0" w:space="0" w:color="auto"/>
                  </w:divBdr>
                </w:div>
              </w:divsChild>
            </w:div>
            <w:div w:id="1766223700">
              <w:marLeft w:val="0"/>
              <w:marRight w:val="0"/>
              <w:marTop w:val="0"/>
              <w:marBottom w:val="0"/>
              <w:divBdr>
                <w:top w:val="none" w:sz="0" w:space="0" w:color="auto"/>
                <w:left w:val="none" w:sz="0" w:space="0" w:color="auto"/>
                <w:bottom w:val="none" w:sz="0" w:space="0" w:color="auto"/>
                <w:right w:val="none" w:sz="0" w:space="0" w:color="auto"/>
              </w:divBdr>
            </w:div>
          </w:divsChild>
        </w:div>
        <w:div w:id="1361932985">
          <w:marLeft w:val="-225"/>
          <w:marRight w:val="-225"/>
          <w:marTop w:val="0"/>
          <w:marBottom w:val="30"/>
          <w:divBdr>
            <w:top w:val="none" w:sz="0" w:space="0" w:color="auto"/>
            <w:left w:val="none" w:sz="0" w:space="0" w:color="auto"/>
            <w:bottom w:val="none" w:sz="0" w:space="0" w:color="auto"/>
            <w:right w:val="none" w:sz="0" w:space="0" w:color="auto"/>
          </w:divBdr>
          <w:divsChild>
            <w:div w:id="1821117396">
              <w:marLeft w:val="0"/>
              <w:marRight w:val="0"/>
              <w:marTop w:val="0"/>
              <w:marBottom w:val="0"/>
              <w:divBdr>
                <w:top w:val="none" w:sz="0" w:space="0" w:color="auto"/>
                <w:left w:val="none" w:sz="0" w:space="0" w:color="auto"/>
                <w:bottom w:val="none" w:sz="0" w:space="0" w:color="auto"/>
                <w:right w:val="none" w:sz="0" w:space="0" w:color="auto"/>
              </w:divBdr>
              <w:divsChild>
                <w:div w:id="7580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67">
      <w:bodyDiv w:val="1"/>
      <w:marLeft w:val="0"/>
      <w:marRight w:val="0"/>
      <w:marTop w:val="0"/>
      <w:marBottom w:val="0"/>
      <w:divBdr>
        <w:top w:val="none" w:sz="0" w:space="0" w:color="auto"/>
        <w:left w:val="none" w:sz="0" w:space="0" w:color="auto"/>
        <w:bottom w:val="none" w:sz="0" w:space="0" w:color="auto"/>
        <w:right w:val="none" w:sz="0" w:space="0" w:color="auto"/>
      </w:divBdr>
      <w:divsChild>
        <w:div w:id="1437597990">
          <w:marLeft w:val="0"/>
          <w:marRight w:val="0"/>
          <w:marTop w:val="0"/>
          <w:marBottom w:val="0"/>
          <w:divBdr>
            <w:top w:val="none" w:sz="0" w:space="0" w:color="auto"/>
            <w:left w:val="none" w:sz="0" w:space="0" w:color="auto"/>
            <w:bottom w:val="none" w:sz="0" w:space="0" w:color="auto"/>
            <w:right w:val="none" w:sz="0" w:space="0" w:color="auto"/>
          </w:divBdr>
        </w:div>
        <w:div w:id="1968315319">
          <w:marLeft w:val="0"/>
          <w:marRight w:val="0"/>
          <w:marTop w:val="0"/>
          <w:marBottom w:val="0"/>
          <w:divBdr>
            <w:top w:val="none" w:sz="0" w:space="0" w:color="auto"/>
            <w:left w:val="none" w:sz="0" w:space="0" w:color="auto"/>
            <w:bottom w:val="none" w:sz="0" w:space="0" w:color="auto"/>
            <w:right w:val="none" w:sz="0" w:space="0" w:color="auto"/>
          </w:divBdr>
        </w:div>
      </w:divsChild>
    </w:div>
    <w:div w:id="1195994160">
      <w:bodyDiv w:val="1"/>
      <w:marLeft w:val="0"/>
      <w:marRight w:val="0"/>
      <w:marTop w:val="0"/>
      <w:marBottom w:val="0"/>
      <w:divBdr>
        <w:top w:val="none" w:sz="0" w:space="0" w:color="auto"/>
        <w:left w:val="none" w:sz="0" w:space="0" w:color="auto"/>
        <w:bottom w:val="none" w:sz="0" w:space="0" w:color="auto"/>
        <w:right w:val="none" w:sz="0" w:space="0" w:color="auto"/>
      </w:divBdr>
      <w:divsChild>
        <w:div w:id="1060402566">
          <w:marLeft w:val="0"/>
          <w:marRight w:val="0"/>
          <w:marTop w:val="0"/>
          <w:marBottom w:val="0"/>
          <w:divBdr>
            <w:top w:val="none" w:sz="0" w:space="0" w:color="auto"/>
            <w:left w:val="none" w:sz="0" w:space="0" w:color="auto"/>
            <w:bottom w:val="none" w:sz="0" w:space="0" w:color="auto"/>
            <w:right w:val="none" w:sz="0" w:space="0" w:color="auto"/>
          </w:divBdr>
        </w:div>
        <w:div w:id="1365596673">
          <w:marLeft w:val="0"/>
          <w:marRight w:val="0"/>
          <w:marTop w:val="0"/>
          <w:marBottom w:val="0"/>
          <w:divBdr>
            <w:top w:val="none" w:sz="0" w:space="0" w:color="auto"/>
            <w:left w:val="none" w:sz="0" w:space="0" w:color="auto"/>
            <w:bottom w:val="none" w:sz="0" w:space="0" w:color="auto"/>
            <w:right w:val="none" w:sz="0" w:space="0" w:color="auto"/>
          </w:divBdr>
        </w:div>
      </w:divsChild>
    </w:div>
    <w:div w:id="1302689027">
      <w:bodyDiv w:val="1"/>
      <w:marLeft w:val="0"/>
      <w:marRight w:val="0"/>
      <w:marTop w:val="0"/>
      <w:marBottom w:val="0"/>
      <w:divBdr>
        <w:top w:val="none" w:sz="0" w:space="0" w:color="auto"/>
        <w:left w:val="none" w:sz="0" w:space="0" w:color="auto"/>
        <w:bottom w:val="none" w:sz="0" w:space="0" w:color="auto"/>
        <w:right w:val="none" w:sz="0" w:space="0" w:color="auto"/>
      </w:divBdr>
      <w:divsChild>
        <w:div w:id="677998402">
          <w:marLeft w:val="-225"/>
          <w:marRight w:val="-225"/>
          <w:marTop w:val="0"/>
          <w:marBottom w:val="0"/>
          <w:divBdr>
            <w:top w:val="none" w:sz="0" w:space="0" w:color="auto"/>
            <w:left w:val="none" w:sz="0" w:space="0" w:color="auto"/>
            <w:bottom w:val="none" w:sz="0" w:space="0" w:color="auto"/>
            <w:right w:val="none" w:sz="0" w:space="0" w:color="auto"/>
          </w:divBdr>
          <w:divsChild>
            <w:div w:id="1188104644">
              <w:marLeft w:val="0"/>
              <w:marRight w:val="0"/>
              <w:marTop w:val="0"/>
              <w:marBottom w:val="0"/>
              <w:divBdr>
                <w:top w:val="none" w:sz="0" w:space="0" w:color="auto"/>
                <w:left w:val="none" w:sz="0" w:space="0" w:color="auto"/>
                <w:bottom w:val="none" w:sz="0" w:space="0" w:color="auto"/>
                <w:right w:val="none" w:sz="0" w:space="0" w:color="auto"/>
              </w:divBdr>
              <w:divsChild>
                <w:div w:id="321861010">
                  <w:marLeft w:val="-225"/>
                  <w:marRight w:val="-225"/>
                  <w:marTop w:val="0"/>
                  <w:marBottom w:val="0"/>
                  <w:divBdr>
                    <w:top w:val="none" w:sz="0" w:space="0" w:color="auto"/>
                    <w:left w:val="none" w:sz="0" w:space="0" w:color="auto"/>
                    <w:bottom w:val="none" w:sz="0" w:space="0" w:color="auto"/>
                    <w:right w:val="none" w:sz="0" w:space="0" w:color="auto"/>
                  </w:divBdr>
                  <w:divsChild>
                    <w:div w:id="1059943409">
                      <w:marLeft w:val="0"/>
                      <w:marRight w:val="0"/>
                      <w:marTop w:val="0"/>
                      <w:marBottom w:val="0"/>
                      <w:divBdr>
                        <w:top w:val="none" w:sz="0" w:space="0" w:color="auto"/>
                        <w:left w:val="none" w:sz="0" w:space="0" w:color="auto"/>
                        <w:bottom w:val="none" w:sz="0" w:space="0" w:color="auto"/>
                        <w:right w:val="none" w:sz="0" w:space="0" w:color="auto"/>
                      </w:divBdr>
                      <w:divsChild>
                        <w:div w:id="1717850526">
                          <w:marLeft w:val="0"/>
                          <w:marRight w:val="0"/>
                          <w:marTop w:val="0"/>
                          <w:marBottom w:val="0"/>
                          <w:divBdr>
                            <w:top w:val="none" w:sz="0" w:space="0" w:color="auto"/>
                            <w:left w:val="none" w:sz="0" w:space="0" w:color="auto"/>
                            <w:bottom w:val="none" w:sz="0" w:space="0" w:color="auto"/>
                            <w:right w:val="none" w:sz="0" w:space="0" w:color="auto"/>
                          </w:divBdr>
                          <w:divsChild>
                            <w:div w:id="20847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21772">
      <w:bodyDiv w:val="1"/>
      <w:marLeft w:val="0"/>
      <w:marRight w:val="0"/>
      <w:marTop w:val="0"/>
      <w:marBottom w:val="0"/>
      <w:divBdr>
        <w:top w:val="none" w:sz="0" w:space="0" w:color="auto"/>
        <w:left w:val="none" w:sz="0" w:space="0" w:color="auto"/>
        <w:bottom w:val="none" w:sz="0" w:space="0" w:color="auto"/>
        <w:right w:val="none" w:sz="0" w:space="0" w:color="auto"/>
      </w:divBdr>
      <w:divsChild>
        <w:div w:id="1984432849">
          <w:marLeft w:val="0"/>
          <w:marRight w:val="0"/>
          <w:marTop w:val="0"/>
          <w:marBottom w:val="0"/>
          <w:divBdr>
            <w:top w:val="none" w:sz="0" w:space="0" w:color="auto"/>
            <w:left w:val="none" w:sz="0" w:space="0" w:color="auto"/>
            <w:bottom w:val="none" w:sz="0" w:space="0" w:color="auto"/>
            <w:right w:val="none" w:sz="0" w:space="0" w:color="auto"/>
          </w:divBdr>
          <w:divsChild>
            <w:div w:id="1455521680">
              <w:marLeft w:val="0"/>
              <w:marRight w:val="0"/>
              <w:marTop w:val="0"/>
              <w:marBottom w:val="0"/>
              <w:divBdr>
                <w:top w:val="none" w:sz="0" w:space="0" w:color="auto"/>
                <w:left w:val="none" w:sz="0" w:space="0" w:color="auto"/>
                <w:bottom w:val="none" w:sz="0" w:space="0" w:color="auto"/>
                <w:right w:val="none" w:sz="0" w:space="0" w:color="auto"/>
              </w:divBdr>
            </w:div>
          </w:divsChild>
        </w:div>
        <w:div w:id="2102293938">
          <w:marLeft w:val="0"/>
          <w:marRight w:val="0"/>
          <w:marTop w:val="0"/>
          <w:marBottom w:val="0"/>
          <w:divBdr>
            <w:top w:val="none" w:sz="0" w:space="0" w:color="auto"/>
            <w:left w:val="none" w:sz="0" w:space="0" w:color="auto"/>
            <w:bottom w:val="none" w:sz="0" w:space="0" w:color="auto"/>
            <w:right w:val="none" w:sz="0" w:space="0" w:color="auto"/>
          </w:divBdr>
          <w:divsChild>
            <w:div w:id="244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7774">
      <w:bodyDiv w:val="1"/>
      <w:marLeft w:val="0"/>
      <w:marRight w:val="0"/>
      <w:marTop w:val="0"/>
      <w:marBottom w:val="0"/>
      <w:divBdr>
        <w:top w:val="none" w:sz="0" w:space="0" w:color="auto"/>
        <w:left w:val="none" w:sz="0" w:space="0" w:color="auto"/>
        <w:bottom w:val="none" w:sz="0" w:space="0" w:color="auto"/>
        <w:right w:val="none" w:sz="0" w:space="0" w:color="auto"/>
      </w:divBdr>
      <w:divsChild>
        <w:div w:id="375085458">
          <w:marLeft w:val="-225"/>
          <w:marRight w:val="-225"/>
          <w:marTop w:val="0"/>
          <w:marBottom w:val="0"/>
          <w:divBdr>
            <w:top w:val="none" w:sz="0" w:space="0" w:color="auto"/>
            <w:left w:val="none" w:sz="0" w:space="0" w:color="auto"/>
            <w:bottom w:val="none" w:sz="0" w:space="0" w:color="auto"/>
            <w:right w:val="none" w:sz="0" w:space="0" w:color="auto"/>
          </w:divBdr>
          <w:divsChild>
            <w:div w:id="735589961">
              <w:marLeft w:val="0"/>
              <w:marRight w:val="0"/>
              <w:marTop w:val="0"/>
              <w:marBottom w:val="0"/>
              <w:divBdr>
                <w:top w:val="none" w:sz="0" w:space="0" w:color="auto"/>
                <w:left w:val="none" w:sz="0" w:space="0" w:color="auto"/>
                <w:bottom w:val="none" w:sz="0" w:space="0" w:color="auto"/>
                <w:right w:val="none" w:sz="0" w:space="0" w:color="auto"/>
              </w:divBdr>
              <w:divsChild>
                <w:div w:id="1335956846">
                  <w:marLeft w:val="-225"/>
                  <w:marRight w:val="-225"/>
                  <w:marTop w:val="0"/>
                  <w:marBottom w:val="0"/>
                  <w:divBdr>
                    <w:top w:val="none" w:sz="0" w:space="0" w:color="auto"/>
                    <w:left w:val="none" w:sz="0" w:space="0" w:color="auto"/>
                    <w:bottom w:val="none" w:sz="0" w:space="0" w:color="auto"/>
                    <w:right w:val="none" w:sz="0" w:space="0" w:color="auto"/>
                  </w:divBdr>
                  <w:divsChild>
                    <w:div w:id="2038891482">
                      <w:marLeft w:val="0"/>
                      <w:marRight w:val="0"/>
                      <w:marTop w:val="0"/>
                      <w:marBottom w:val="0"/>
                      <w:divBdr>
                        <w:top w:val="none" w:sz="0" w:space="0" w:color="auto"/>
                        <w:left w:val="none" w:sz="0" w:space="0" w:color="auto"/>
                        <w:bottom w:val="none" w:sz="0" w:space="0" w:color="auto"/>
                        <w:right w:val="none" w:sz="0" w:space="0" w:color="auto"/>
                      </w:divBdr>
                      <w:divsChild>
                        <w:div w:id="531921858">
                          <w:marLeft w:val="0"/>
                          <w:marRight w:val="0"/>
                          <w:marTop w:val="0"/>
                          <w:marBottom w:val="0"/>
                          <w:divBdr>
                            <w:top w:val="none" w:sz="0" w:space="0" w:color="auto"/>
                            <w:left w:val="none" w:sz="0" w:space="0" w:color="auto"/>
                            <w:bottom w:val="none" w:sz="0" w:space="0" w:color="auto"/>
                            <w:right w:val="none" w:sz="0" w:space="0" w:color="auto"/>
                          </w:divBdr>
                          <w:divsChild>
                            <w:div w:id="577835454">
                              <w:marLeft w:val="0"/>
                              <w:marRight w:val="0"/>
                              <w:marTop w:val="0"/>
                              <w:marBottom w:val="0"/>
                              <w:divBdr>
                                <w:top w:val="none" w:sz="0" w:space="0" w:color="auto"/>
                                <w:left w:val="none" w:sz="0" w:space="0" w:color="auto"/>
                                <w:bottom w:val="none" w:sz="0" w:space="0" w:color="auto"/>
                                <w:right w:val="none" w:sz="0" w:space="0" w:color="auto"/>
                              </w:divBdr>
                            </w:div>
                            <w:div w:id="20675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454605">
      <w:bodyDiv w:val="1"/>
      <w:marLeft w:val="0"/>
      <w:marRight w:val="0"/>
      <w:marTop w:val="0"/>
      <w:marBottom w:val="0"/>
      <w:divBdr>
        <w:top w:val="none" w:sz="0" w:space="0" w:color="auto"/>
        <w:left w:val="none" w:sz="0" w:space="0" w:color="auto"/>
        <w:bottom w:val="none" w:sz="0" w:space="0" w:color="auto"/>
        <w:right w:val="none" w:sz="0" w:space="0" w:color="auto"/>
      </w:divBdr>
      <w:divsChild>
        <w:div w:id="451484836">
          <w:marLeft w:val="0"/>
          <w:marRight w:val="0"/>
          <w:marTop w:val="0"/>
          <w:marBottom w:val="0"/>
          <w:divBdr>
            <w:top w:val="none" w:sz="0" w:space="0" w:color="auto"/>
            <w:left w:val="none" w:sz="0" w:space="0" w:color="auto"/>
            <w:bottom w:val="none" w:sz="0" w:space="0" w:color="auto"/>
            <w:right w:val="none" w:sz="0" w:space="0" w:color="auto"/>
          </w:divBdr>
          <w:divsChild>
            <w:div w:id="810291155">
              <w:marLeft w:val="0"/>
              <w:marRight w:val="0"/>
              <w:marTop w:val="0"/>
              <w:marBottom w:val="0"/>
              <w:divBdr>
                <w:top w:val="none" w:sz="0" w:space="0" w:color="auto"/>
                <w:left w:val="none" w:sz="0" w:space="0" w:color="auto"/>
                <w:bottom w:val="none" w:sz="0" w:space="0" w:color="auto"/>
                <w:right w:val="none" w:sz="0" w:space="0" w:color="auto"/>
              </w:divBdr>
            </w:div>
          </w:divsChild>
        </w:div>
        <w:div w:id="788939562">
          <w:marLeft w:val="0"/>
          <w:marRight w:val="0"/>
          <w:marTop w:val="0"/>
          <w:marBottom w:val="0"/>
          <w:divBdr>
            <w:top w:val="none" w:sz="0" w:space="0" w:color="auto"/>
            <w:left w:val="none" w:sz="0" w:space="0" w:color="auto"/>
            <w:bottom w:val="none" w:sz="0" w:space="0" w:color="auto"/>
            <w:right w:val="none" w:sz="0" w:space="0" w:color="auto"/>
          </w:divBdr>
          <w:divsChild>
            <w:div w:id="16783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898">
      <w:bodyDiv w:val="1"/>
      <w:marLeft w:val="0"/>
      <w:marRight w:val="0"/>
      <w:marTop w:val="0"/>
      <w:marBottom w:val="0"/>
      <w:divBdr>
        <w:top w:val="none" w:sz="0" w:space="0" w:color="auto"/>
        <w:left w:val="none" w:sz="0" w:space="0" w:color="auto"/>
        <w:bottom w:val="none" w:sz="0" w:space="0" w:color="auto"/>
        <w:right w:val="none" w:sz="0" w:space="0" w:color="auto"/>
      </w:divBdr>
      <w:divsChild>
        <w:div w:id="624508921">
          <w:marLeft w:val="0"/>
          <w:marRight w:val="0"/>
          <w:marTop w:val="0"/>
          <w:marBottom w:val="0"/>
          <w:divBdr>
            <w:top w:val="none" w:sz="0" w:space="0" w:color="auto"/>
            <w:left w:val="none" w:sz="0" w:space="0" w:color="auto"/>
            <w:bottom w:val="none" w:sz="0" w:space="0" w:color="auto"/>
            <w:right w:val="none" w:sz="0" w:space="0" w:color="auto"/>
          </w:divBdr>
          <w:divsChild>
            <w:div w:id="1583369586">
              <w:marLeft w:val="0"/>
              <w:marRight w:val="0"/>
              <w:marTop w:val="0"/>
              <w:marBottom w:val="0"/>
              <w:divBdr>
                <w:top w:val="none" w:sz="0" w:space="0" w:color="auto"/>
                <w:left w:val="none" w:sz="0" w:space="0" w:color="auto"/>
                <w:bottom w:val="none" w:sz="0" w:space="0" w:color="auto"/>
                <w:right w:val="none" w:sz="0" w:space="0" w:color="auto"/>
              </w:divBdr>
            </w:div>
          </w:divsChild>
        </w:div>
        <w:div w:id="1762675049">
          <w:marLeft w:val="0"/>
          <w:marRight w:val="0"/>
          <w:marTop w:val="0"/>
          <w:marBottom w:val="0"/>
          <w:divBdr>
            <w:top w:val="none" w:sz="0" w:space="0" w:color="auto"/>
            <w:left w:val="none" w:sz="0" w:space="0" w:color="auto"/>
            <w:bottom w:val="none" w:sz="0" w:space="0" w:color="auto"/>
            <w:right w:val="none" w:sz="0" w:space="0" w:color="auto"/>
          </w:divBdr>
          <w:divsChild>
            <w:div w:id="1690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7975">
      <w:bodyDiv w:val="1"/>
      <w:marLeft w:val="0"/>
      <w:marRight w:val="0"/>
      <w:marTop w:val="0"/>
      <w:marBottom w:val="0"/>
      <w:divBdr>
        <w:top w:val="none" w:sz="0" w:space="0" w:color="auto"/>
        <w:left w:val="none" w:sz="0" w:space="0" w:color="auto"/>
        <w:bottom w:val="none" w:sz="0" w:space="0" w:color="auto"/>
        <w:right w:val="none" w:sz="0" w:space="0" w:color="auto"/>
      </w:divBdr>
      <w:divsChild>
        <w:div w:id="951325489">
          <w:marLeft w:val="0"/>
          <w:marRight w:val="0"/>
          <w:marTop w:val="0"/>
          <w:marBottom w:val="0"/>
          <w:divBdr>
            <w:top w:val="none" w:sz="0" w:space="0" w:color="auto"/>
            <w:left w:val="none" w:sz="0" w:space="0" w:color="auto"/>
            <w:bottom w:val="none" w:sz="0" w:space="0" w:color="auto"/>
            <w:right w:val="none" w:sz="0" w:space="0" w:color="auto"/>
          </w:divBdr>
        </w:div>
      </w:divsChild>
    </w:div>
    <w:div w:id="1665812467">
      <w:bodyDiv w:val="1"/>
      <w:marLeft w:val="0"/>
      <w:marRight w:val="0"/>
      <w:marTop w:val="0"/>
      <w:marBottom w:val="0"/>
      <w:divBdr>
        <w:top w:val="none" w:sz="0" w:space="0" w:color="auto"/>
        <w:left w:val="none" w:sz="0" w:space="0" w:color="auto"/>
        <w:bottom w:val="none" w:sz="0" w:space="0" w:color="auto"/>
        <w:right w:val="none" w:sz="0" w:space="0" w:color="auto"/>
      </w:divBdr>
    </w:div>
    <w:div w:id="1726568597">
      <w:bodyDiv w:val="1"/>
      <w:marLeft w:val="0"/>
      <w:marRight w:val="0"/>
      <w:marTop w:val="0"/>
      <w:marBottom w:val="0"/>
      <w:divBdr>
        <w:top w:val="none" w:sz="0" w:space="0" w:color="auto"/>
        <w:left w:val="none" w:sz="0" w:space="0" w:color="auto"/>
        <w:bottom w:val="none" w:sz="0" w:space="0" w:color="auto"/>
        <w:right w:val="none" w:sz="0" w:space="0" w:color="auto"/>
      </w:divBdr>
      <w:divsChild>
        <w:div w:id="692345461">
          <w:marLeft w:val="0"/>
          <w:marRight w:val="0"/>
          <w:marTop w:val="0"/>
          <w:marBottom w:val="0"/>
          <w:divBdr>
            <w:top w:val="none" w:sz="0" w:space="0" w:color="auto"/>
            <w:left w:val="none" w:sz="0" w:space="0" w:color="auto"/>
            <w:bottom w:val="none" w:sz="0" w:space="0" w:color="auto"/>
            <w:right w:val="none" w:sz="0" w:space="0" w:color="auto"/>
          </w:divBdr>
          <w:divsChild>
            <w:div w:id="1082214616">
              <w:marLeft w:val="0"/>
              <w:marRight w:val="0"/>
              <w:marTop w:val="0"/>
              <w:marBottom w:val="0"/>
              <w:divBdr>
                <w:top w:val="none" w:sz="0" w:space="0" w:color="auto"/>
                <w:left w:val="none" w:sz="0" w:space="0" w:color="auto"/>
                <w:bottom w:val="none" w:sz="0" w:space="0" w:color="auto"/>
                <w:right w:val="none" w:sz="0" w:space="0" w:color="auto"/>
              </w:divBdr>
            </w:div>
          </w:divsChild>
        </w:div>
        <w:div w:id="994995620">
          <w:marLeft w:val="0"/>
          <w:marRight w:val="0"/>
          <w:marTop w:val="0"/>
          <w:marBottom w:val="0"/>
          <w:divBdr>
            <w:top w:val="none" w:sz="0" w:space="0" w:color="auto"/>
            <w:left w:val="none" w:sz="0" w:space="0" w:color="auto"/>
            <w:bottom w:val="none" w:sz="0" w:space="0" w:color="auto"/>
            <w:right w:val="none" w:sz="0" w:space="0" w:color="auto"/>
          </w:divBdr>
          <w:divsChild>
            <w:div w:id="16527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4847">
      <w:bodyDiv w:val="1"/>
      <w:marLeft w:val="0"/>
      <w:marRight w:val="0"/>
      <w:marTop w:val="0"/>
      <w:marBottom w:val="0"/>
      <w:divBdr>
        <w:top w:val="none" w:sz="0" w:space="0" w:color="auto"/>
        <w:left w:val="none" w:sz="0" w:space="0" w:color="auto"/>
        <w:bottom w:val="none" w:sz="0" w:space="0" w:color="auto"/>
        <w:right w:val="none" w:sz="0" w:space="0" w:color="auto"/>
      </w:divBdr>
      <w:divsChild>
        <w:div w:id="535048229">
          <w:marLeft w:val="0"/>
          <w:marRight w:val="0"/>
          <w:marTop w:val="0"/>
          <w:marBottom w:val="0"/>
          <w:divBdr>
            <w:top w:val="none" w:sz="0" w:space="0" w:color="auto"/>
            <w:left w:val="none" w:sz="0" w:space="0" w:color="auto"/>
            <w:bottom w:val="none" w:sz="0" w:space="0" w:color="auto"/>
            <w:right w:val="none" w:sz="0" w:space="0" w:color="auto"/>
          </w:divBdr>
          <w:divsChild>
            <w:div w:id="1991905859">
              <w:marLeft w:val="0"/>
              <w:marRight w:val="0"/>
              <w:marTop w:val="0"/>
              <w:marBottom w:val="0"/>
              <w:divBdr>
                <w:top w:val="none" w:sz="0" w:space="0" w:color="auto"/>
                <w:left w:val="none" w:sz="0" w:space="0" w:color="auto"/>
                <w:bottom w:val="none" w:sz="0" w:space="0" w:color="auto"/>
                <w:right w:val="none" w:sz="0" w:space="0" w:color="auto"/>
              </w:divBdr>
            </w:div>
          </w:divsChild>
        </w:div>
        <w:div w:id="1473673854">
          <w:marLeft w:val="0"/>
          <w:marRight w:val="0"/>
          <w:marTop w:val="0"/>
          <w:marBottom w:val="0"/>
          <w:divBdr>
            <w:top w:val="none" w:sz="0" w:space="0" w:color="auto"/>
            <w:left w:val="none" w:sz="0" w:space="0" w:color="auto"/>
            <w:bottom w:val="none" w:sz="0" w:space="0" w:color="auto"/>
            <w:right w:val="none" w:sz="0" w:space="0" w:color="auto"/>
          </w:divBdr>
          <w:divsChild>
            <w:div w:id="1171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3309">
      <w:bodyDiv w:val="1"/>
      <w:marLeft w:val="0"/>
      <w:marRight w:val="0"/>
      <w:marTop w:val="0"/>
      <w:marBottom w:val="0"/>
      <w:divBdr>
        <w:top w:val="none" w:sz="0" w:space="0" w:color="auto"/>
        <w:left w:val="none" w:sz="0" w:space="0" w:color="auto"/>
        <w:bottom w:val="none" w:sz="0" w:space="0" w:color="auto"/>
        <w:right w:val="none" w:sz="0" w:space="0" w:color="auto"/>
      </w:divBdr>
    </w:div>
    <w:div w:id="1974360743">
      <w:bodyDiv w:val="1"/>
      <w:marLeft w:val="0"/>
      <w:marRight w:val="0"/>
      <w:marTop w:val="0"/>
      <w:marBottom w:val="0"/>
      <w:divBdr>
        <w:top w:val="none" w:sz="0" w:space="0" w:color="auto"/>
        <w:left w:val="none" w:sz="0" w:space="0" w:color="auto"/>
        <w:bottom w:val="none" w:sz="0" w:space="0" w:color="auto"/>
        <w:right w:val="none" w:sz="0" w:space="0" w:color="auto"/>
      </w:divBdr>
    </w:div>
    <w:div w:id="2065640650">
      <w:bodyDiv w:val="1"/>
      <w:marLeft w:val="0"/>
      <w:marRight w:val="0"/>
      <w:marTop w:val="0"/>
      <w:marBottom w:val="0"/>
      <w:divBdr>
        <w:top w:val="none" w:sz="0" w:space="0" w:color="auto"/>
        <w:left w:val="none" w:sz="0" w:space="0" w:color="auto"/>
        <w:bottom w:val="none" w:sz="0" w:space="0" w:color="auto"/>
        <w:right w:val="none" w:sz="0" w:space="0" w:color="auto"/>
      </w:divBdr>
    </w:div>
    <w:div w:id="2096659155">
      <w:bodyDiv w:val="1"/>
      <w:marLeft w:val="0"/>
      <w:marRight w:val="0"/>
      <w:marTop w:val="0"/>
      <w:marBottom w:val="0"/>
      <w:divBdr>
        <w:top w:val="none" w:sz="0" w:space="0" w:color="auto"/>
        <w:left w:val="none" w:sz="0" w:space="0" w:color="auto"/>
        <w:bottom w:val="none" w:sz="0" w:space="0" w:color="auto"/>
        <w:right w:val="none" w:sz="0" w:space="0" w:color="auto"/>
      </w:divBdr>
      <w:divsChild>
        <w:div w:id="40792310">
          <w:marLeft w:val="0"/>
          <w:marRight w:val="0"/>
          <w:marTop w:val="0"/>
          <w:marBottom w:val="0"/>
          <w:divBdr>
            <w:top w:val="none" w:sz="0" w:space="0" w:color="auto"/>
            <w:left w:val="none" w:sz="0" w:space="0" w:color="auto"/>
            <w:bottom w:val="none" w:sz="0" w:space="0" w:color="auto"/>
            <w:right w:val="none" w:sz="0" w:space="0" w:color="auto"/>
          </w:divBdr>
          <w:divsChild>
            <w:div w:id="187257365">
              <w:marLeft w:val="0"/>
              <w:marRight w:val="0"/>
              <w:marTop w:val="0"/>
              <w:marBottom w:val="0"/>
              <w:divBdr>
                <w:top w:val="none" w:sz="0" w:space="0" w:color="auto"/>
                <w:left w:val="none" w:sz="0" w:space="0" w:color="auto"/>
                <w:bottom w:val="none" w:sz="0" w:space="0" w:color="auto"/>
                <w:right w:val="none" w:sz="0" w:space="0" w:color="auto"/>
              </w:divBdr>
            </w:div>
          </w:divsChild>
        </w:div>
        <w:div w:id="1222668376">
          <w:marLeft w:val="0"/>
          <w:marRight w:val="0"/>
          <w:marTop w:val="0"/>
          <w:marBottom w:val="0"/>
          <w:divBdr>
            <w:top w:val="none" w:sz="0" w:space="0" w:color="auto"/>
            <w:left w:val="none" w:sz="0" w:space="0" w:color="auto"/>
            <w:bottom w:val="none" w:sz="0" w:space="0" w:color="auto"/>
            <w:right w:val="none" w:sz="0" w:space="0" w:color="auto"/>
          </w:divBdr>
          <w:divsChild>
            <w:div w:id="10658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terminations@education.ohi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retrieveECFR?gp=&amp;SID=9e0f79385c5005959f058c14ab8584a0&amp;mc=true&amp;n=pt2.1.200&amp;r=PART&amp;t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resourcesohio.org/ode/OEC%20Documents/Special%20Education%20Ratings%20-%20Examples%20of%20Audit%20Finding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ohio.gov/Topics/Special-Education/Resources-for-Parents-and-Teachers-of-Students-wit/District-Level-Performanc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DFAEBBA97C942BFFB60BBE68183E8" ma:contentTypeVersion="5" ma:contentTypeDescription="Create a new document." ma:contentTypeScope="" ma:versionID="598f72729b1fac4a95fefee8a0552e7c">
  <xsd:schema xmlns:xsd="http://www.w3.org/2001/XMLSchema" xmlns:xs="http://www.w3.org/2001/XMLSchema" xmlns:p="http://schemas.microsoft.com/office/2006/metadata/properties" xmlns:ns2="4a56c0b1-c466-4594-944a-8ebf586e9e44" xmlns:ns3="4df91513-fa67-4a9c-b3fc-8ff4cec04ea6" targetNamespace="http://schemas.microsoft.com/office/2006/metadata/properties" ma:root="true" ma:fieldsID="efc17de8d52e19786b4eeefadb3ab066" ns2:_="" ns3:_="">
    <xsd:import namespace="4a56c0b1-c466-4594-944a-8ebf586e9e44"/>
    <xsd:import namespace="4df91513-fa67-4a9c-b3fc-8ff4cec04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c0b1-c466-4594-944a-8ebf586e9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91513-fa67-4a9c-b3fc-8ff4cec04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EE1E-FA17-4A6B-82A3-3F1E944079FB}">
  <ds:schemaRefs>
    <ds:schemaRef ds:uri="http://schemas.microsoft.com/sharepoint/v3/contenttype/forms"/>
  </ds:schemaRefs>
</ds:datastoreItem>
</file>

<file path=customXml/itemProps2.xml><?xml version="1.0" encoding="utf-8"?>
<ds:datastoreItem xmlns:ds="http://schemas.openxmlformats.org/officeDocument/2006/customXml" ds:itemID="{E1F2108F-F1D9-484B-B697-4D04B00D9C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B10E-B441-4924-8A16-0BB2D6CE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c0b1-c466-4594-944a-8ebf586e9e44"/>
    <ds:schemaRef ds:uri="4df91513-fa67-4a9c-b3fc-8ff4cec04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51C11-A101-4692-B938-C1D6E236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7431</TotalTime>
  <Pages>11</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 Kara</dc:creator>
  <cp:keywords/>
  <dc:description/>
  <cp:lastModifiedBy>Rector, Ashley</cp:lastModifiedBy>
  <cp:revision>122</cp:revision>
  <cp:lastPrinted>2018-08-14T15:55:00Z</cp:lastPrinted>
  <dcterms:created xsi:type="dcterms:W3CDTF">2019-08-14T15:48:00Z</dcterms:created>
  <dcterms:modified xsi:type="dcterms:W3CDTF">2021-07-15T16:10:00Z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0x010100F74DFAEBBA97C942BFFB60BBE68183E8</vt:lpwstr>
  </property>
</Properties>
</file>