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927B" w14:textId="793A7354" w:rsidR="009A3CE6" w:rsidRPr="009477B6" w:rsidRDefault="009A3CE6" w:rsidP="009477B6">
      <w:pPr>
        <w:pStyle w:val="Title"/>
      </w:pPr>
      <w:bookmarkStart w:id="0" w:name="_Hlk155606687"/>
      <w:r w:rsidRPr="009477B6">
        <w:t>Reflection Exercise</w:t>
      </w:r>
      <w:r w:rsidR="009477B6">
        <w:t xml:space="preserve">: </w:t>
      </w:r>
      <w:r w:rsidR="00114D99">
        <w:t>Clarifying and Aligning Goals</w:t>
      </w:r>
      <w:r w:rsidR="009477B6">
        <w:t xml:space="preserve"> </w:t>
      </w:r>
    </w:p>
    <w:p w14:paraId="5B2A5C61" w14:textId="4B3397E6" w:rsidR="009A3CE6" w:rsidRDefault="009A3CE6" w:rsidP="000B28A5">
      <w:r>
        <w:t>This Reflection Exercise includes three steps that focus on clarifying and aligning goals:</w:t>
      </w:r>
    </w:p>
    <w:p w14:paraId="0326CE42" w14:textId="77777777" w:rsidR="009A3CE6" w:rsidRPr="009477B6" w:rsidRDefault="009A3CE6" w:rsidP="009477B6">
      <w:pPr>
        <w:pStyle w:val="Heading1"/>
      </w:pPr>
      <w:r w:rsidRPr="009477B6">
        <w:t xml:space="preserve">Step 1. </w:t>
      </w:r>
    </w:p>
    <w:p w14:paraId="02C3655D" w14:textId="460E6E9D" w:rsidR="009A3CE6" w:rsidRPr="008E5342" w:rsidRDefault="009A3CE6" w:rsidP="000B28A5">
      <w:r>
        <w:t>Record school</w:t>
      </w:r>
      <w:r w:rsidR="003A1FD3">
        <w:t xml:space="preserve"> </w:t>
      </w:r>
      <w:r w:rsidR="00337A00">
        <w:t>or</w:t>
      </w:r>
      <w:r w:rsidR="008B0035">
        <w:t xml:space="preserve"> </w:t>
      </w:r>
      <w:r>
        <w:t>district vision, goals</w:t>
      </w:r>
      <w:r w:rsidRPr="1FEEF756">
        <w:t>,</w:t>
      </w:r>
      <w:r>
        <w:t xml:space="preserve"> and overall instructional principles.</w:t>
      </w:r>
    </w:p>
    <w:p w14:paraId="760ADE6F" w14:textId="197BD2AD" w:rsidR="001D6D4E" w:rsidRPr="001D6D4E" w:rsidRDefault="001D6D4E" w:rsidP="001D6D4E">
      <w:pPr>
        <w:pStyle w:val="NoSpacing"/>
        <w:numPr>
          <w:ilvl w:val="0"/>
          <w:numId w:val="25"/>
        </w:numPr>
        <w:rPr>
          <w:sz w:val="28"/>
          <w:szCs w:val="28"/>
        </w:rPr>
      </w:pPr>
      <w:r w:rsidRPr="001D6D4E">
        <w:rPr>
          <w:b/>
          <w:bCs/>
          <w:sz w:val="28"/>
          <w:szCs w:val="28"/>
        </w:rPr>
        <w:t>Vision:</w:t>
      </w:r>
      <w:r>
        <w:rPr>
          <w:b/>
          <w:bCs/>
          <w:sz w:val="28"/>
          <w:szCs w:val="28"/>
        </w:rPr>
        <w:t xml:space="preserve"> </w:t>
      </w:r>
      <w:r w:rsidRPr="001D6D4E">
        <w:rPr>
          <w:sz w:val="28"/>
          <w:szCs w:val="28"/>
        </w:rPr>
        <w:br/>
      </w:r>
    </w:p>
    <w:p w14:paraId="48E44AF2" w14:textId="3E4DF88F" w:rsidR="001D6D4E" w:rsidRPr="001D6D4E" w:rsidRDefault="001D6D4E" w:rsidP="001D6D4E">
      <w:pPr>
        <w:pStyle w:val="NoSpacing"/>
        <w:numPr>
          <w:ilvl w:val="0"/>
          <w:numId w:val="25"/>
        </w:numPr>
        <w:rPr>
          <w:sz w:val="28"/>
          <w:szCs w:val="28"/>
        </w:rPr>
      </w:pPr>
      <w:r w:rsidRPr="001D6D4E">
        <w:rPr>
          <w:b/>
          <w:bCs/>
          <w:sz w:val="28"/>
          <w:szCs w:val="28"/>
        </w:rPr>
        <w:t xml:space="preserve">Goals (Mission): </w:t>
      </w:r>
      <w:r w:rsidRPr="001D6D4E">
        <w:rPr>
          <w:sz w:val="28"/>
          <w:szCs w:val="28"/>
        </w:rPr>
        <w:br/>
      </w:r>
    </w:p>
    <w:p w14:paraId="56D2DBDD" w14:textId="50456B40" w:rsidR="001D6D4E" w:rsidRPr="001D6D4E" w:rsidRDefault="001D6D4E" w:rsidP="001D6D4E">
      <w:pPr>
        <w:pStyle w:val="NoSpacing"/>
        <w:numPr>
          <w:ilvl w:val="0"/>
          <w:numId w:val="25"/>
        </w:numPr>
        <w:rPr>
          <w:sz w:val="28"/>
          <w:szCs w:val="28"/>
        </w:rPr>
      </w:pPr>
      <w:r w:rsidRPr="001D6D4E">
        <w:rPr>
          <w:b/>
          <w:bCs/>
          <w:sz w:val="28"/>
          <w:szCs w:val="28"/>
        </w:rPr>
        <w:t xml:space="preserve">Instructional Principles: </w:t>
      </w:r>
      <w:r w:rsidRPr="001D6D4E">
        <w:rPr>
          <w:sz w:val="28"/>
          <w:szCs w:val="28"/>
        </w:rPr>
        <w:br/>
      </w:r>
    </w:p>
    <w:p w14:paraId="73663A7B" w14:textId="77777777" w:rsidR="00590C59" w:rsidRPr="001D6D4E" w:rsidRDefault="00590C59" w:rsidP="001D6D4E">
      <w:pPr>
        <w:pStyle w:val="NoSpacing"/>
      </w:pPr>
    </w:p>
    <w:p w14:paraId="371B8664" w14:textId="77777777" w:rsidR="009A3CE6" w:rsidRPr="009477B6" w:rsidRDefault="009A3CE6" w:rsidP="009477B6">
      <w:pPr>
        <w:pStyle w:val="Heading1"/>
      </w:pPr>
      <w:r w:rsidRPr="009477B6">
        <w:t xml:space="preserve">Step 2. </w:t>
      </w:r>
    </w:p>
    <w:p w14:paraId="72FFAFF0" w14:textId="53FC3546" w:rsidR="009A3CE6" w:rsidRDefault="00B2045C" w:rsidP="000B28A5">
      <w:r>
        <w:t>R</w:t>
      </w:r>
      <w:r w:rsidR="009A3CE6">
        <w:t>ead the statements</w:t>
      </w:r>
      <w:r w:rsidR="00C47E96">
        <w:t xml:space="preserve"> </w:t>
      </w:r>
      <w:r w:rsidR="00031AD6">
        <w:t xml:space="preserve">you wrote </w:t>
      </w:r>
      <w:r w:rsidR="00963649">
        <w:t>in Step 1</w:t>
      </w:r>
      <w:r w:rsidR="006F1FDB">
        <w:t>, but this time</w:t>
      </w:r>
      <w:r w:rsidR="009A3CE6">
        <w:t xml:space="preserve"> </w:t>
      </w:r>
      <w:r w:rsidR="00385736">
        <w:t>replac</w:t>
      </w:r>
      <w:r w:rsidR="006F1FDB">
        <w:t>e</w:t>
      </w:r>
      <w:r w:rsidR="00385736">
        <w:t xml:space="preserve"> the word “students” </w:t>
      </w:r>
      <w:r w:rsidR="009A3CE6">
        <w:t>with “</w:t>
      </w:r>
      <w:r w:rsidR="004D428B">
        <w:t>English L</w:t>
      </w:r>
      <w:r w:rsidR="009A3CE6">
        <w:t>earners”</w:t>
      </w:r>
      <w:r w:rsidR="000F4768">
        <w:t xml:space="preserve">. </w:t>
      </w:r>
      <w:r w:rsidR="00337A00">
        <w:t>D</w:t>
      </w:r>
      <w:r w:rsidR="009A3CE6">
        <w:t xml:space="preserve">o you feel </w:t>
      </w:r>
      <w:r w:rsidR="00337A00">
        <w:t>each statement is</w:t>
      </w:r>
      <w:r w:rsidR="009A3CE6">
        <w:t xml:space="preserve"> sufficient to guide the school</w:t>
      </w:r>
      <w:r w:rsidR="008B0035">
        <w:t xml:space="preserve"> </w:t>
      </w:r>
      <w:r w:rsidR="00337A00">
        <w:t xml:space="preserve">or </w:t>
      </w:r>
      <w:r w:rsidR="009A3CE6">
        <w:t xml:space="preserve">district implementation of programming for </w:t>
      </w:r>
      <w:r w:rsidR="00337A00">
        <w:t>English L</w:t>
      </w:r>
      <w:r w:rsidR="009A3CE6">
        <w:t>earners?</w:t>
      </w:r>
      <w:r w:rsidR="00031AD6">
        <w:t xml:space="preserve"> Respond </w:t>
      </w:r>
      <w:r w:rsidR="00963649">
        <w:t xml:space="preserve">and reflect.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052"/>
        <w:gridCol w:w="1902"/>
        <w:gridCol w:w="4390"/>
      </w:tblGrid>
      <w:tr w:rsidR="009A3CE6" w14:paraId="66F7C0EF" w14:textId="77777777" w:rsidTr="009477B6">
        <w:trPr>
          <w:cantSplit/>
          <w:trHeight w:val="678"/>
          <w:tblHeader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0D7F13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Statement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D0E387" w14:textId="77777777" w:rsidR="009A3CE6" w:rsidRPr="004B4023" w:rsidRDefault="009A3CE6" w:rsidP="009477B6">
            <w:pPr>
              <w:spacing w:after="0"/>
              <w:rPr>
                <w:rFonts w:eastAsia="Malgun Gothic" w:cs="Arial"/>
                <w:b/>
                <w:lang w:eastAsia="ko-KR"/>
              </w:rPr>
            </w:pPr>
            <w:r>
              <w:rPr>
                <w:rFonts w:eastAsia="Malgun Gothic" w:cs="Arial"/>
                <w:b/>
                <w:lang w:eastAsia="ko-KR"/>
              </w:rPr>
              <w:t>Do we have this?</w:t>
            </w:r>
          </w:p>
        </w:tc>
        <w:tc>
          <w:tcPr>
            <w:tcW w:w="4390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B593E7" w14:textId="65FE97E3" w:rsidR="009A3CE6" w:rsidRDefault="009A3CE6" w:rsidP="009477B6">
            <w:pPr>
              <w:spacing w:after="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Reflection on sufficiency for </w:t>
            </w:r>
            <w:r w:rsidR="00963649">
              <w:rPr>
                <w:rFonts w:eastAsia="Arial" w:cs="Arial"/>
                <w:b/>
              </w:rPr>
              <w:t>English L</w:t>
            </w:r>
            <w:r>
              <w:rPr>
                <w:rFonts w:eastAsia="Arial" w:cs="Arial"/>
                <w:b/>
              </w:rPr>
              <w:t>earners</w:t>
            </w:r>
          </w:p>
        </w:tc>
      </w:tr>
      <w:tr w:rsidR="009A3CE6" w14:paraId="178CABB8" w14:textId="77777777" w:rsidTr="009477B6">
        <w:trPr>
          <w:cantSplit/>
          <w:trHeight w:val="647"/>
        </w:trPr>
        <w:tc>
          <w:tcPr>
            <w:tcW w:w="30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2D0CB6" w14:textId="6F407642" w:rsidR="009A3CE6" w:rsidRDefault="009A3CE6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>Vision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D74B1" w14:textId="6EB25BB4" w:rsidR="009A3CE6" w:rsidDel="00EF69D6" w:rsidRDefault="00635D87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Yes </w:t>
            </w:r>
            <w:r w:rsidR="00F51697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 xml:space="preserve"> No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826439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  <w:p w14:paraId="534BA1D8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  <w:tr w:rsidR="009A3CE6" w14:paraId="678BD930" w14:textId="77777777" w:rsidTr="009477B6">
        <w:trPr>
          <w:cantSplit/>
          <w:trHeight w:val="710"/>
        </w:trPr>
        <w:tc>
          <w:tcPr>
            <w:tcW w:w="30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E648E5" w14:textId="7FF1E3EE" w:rsidR="009A3CE6" w:rsidRDefault="00A44F19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>Goals</w:t>
            </w:r>
            <w:r w:rsidR="00DE0AF9">
              <w:rPr>
                <w:rFonts w:eastAsia="Arial" w:cs="Arial"/>
              </w:rPr>
              <w:t xml:space="preserve"> (Mission</w:t>
            </w:r>
            <w:r>
              <w:rPr>
                <w:rFonts w:eastAsia="Arial" w:cs="Arial"/>
              </w:rPr>
              <w:t>)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76431" w14:textId="63928411" w:rsidR="009A3CE6" w:rsidDel="00EF69D6" w:rsidRDefault="00635D87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Yes </w:t>
            </w:r>
            <w:r w:rsidR="00F51697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 xml:space="preserve"> No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1B6DF6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  <w:p w14:paraId="17565F1F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  <w:tr w:rsidR="009A3CE6" w14:paraId="175CB60D" w14:textId="77777777" w:rsidTr="009477B6">
        <w:trPr>
          <w:cantSplit/>
          <w:trHeight w:val="710"/>
        </w:trPr>
        <w:tc>
          <w:tcPr>
            <w:tcW w:w="30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78CFC" w14:textId="00FEA4A6" w:rsidR="009A3CE6" w:rsidRDefault="009A3CE6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>Instructional Principles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88779" w14:textId="12940B99" w:rsidR="009A3CE6" w:rsidRDefault="00635D87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Yes </w:t>
            </w:r>
            <w:r w:rsidR="00F51697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 xml:space="preserve"> No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B20453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  <w:tr w:rsidR="009A3CE6" w14:paraId="400AAD12" w14:textId="77777777" w:rsidTr="009477B6">
        <w:trPr>
          <w:cantSplit/>
          <w:trHeight w:val="890"/>
        </w:trPr>
        <w:tc>
          <w:tcPr>
            <w:tcW w:w="30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4466E5" w14:textId="5B4CAD45" w:rsidR="009A3CE6" w:rsidRDefault="009A3CE6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>Articulated Research Foundation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C2C11" w14:textId="76A89E49" w:rsidR="009A3CE6" w:rsidRDefault="00635D87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Yes </w:t>
            </w:r>
            <w:r w:rsidR="00F51697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 xml:space="preserve"> No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A36FF3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  <w:tr w:rsidR="009A3CE6" w14:paraId="7C222B04" w14:textId="77777777" w:rsidTr="009477B6">
        <w:trPr>
          <w:cantSplit/>
          <w:trHeight w:val="755"/>
        </w:trPr>
        <w:tc>
          <w:tcPr>
            <w:tcW w:w="30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AF8B64" w14:textId="2B487827" w:rsidR="009A3CE6" w:rsidRDefault="009A3CE6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Formal Resolutions and </w:t>
            </w:r>
            <w:r w:rsidRPr="00EC6C2A">
              <w:rPr>
                <w:rFonts w:eastAsia="Arial" w:cs="Arial"/>
              </w:rPr>
              <w:t>Commitments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36AC0" w14:textId="67AA6127" w:rsidR="009A3CE6" w:rsidRDefault="00635D87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Yes </w:t>
            </w:r>
            <w:r w:rsidR="00F51697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 xml:space="preserve"> No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A2FF20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  <w:tr w:rsidR="009A3CE6" w14:paraId="4C820925" w14:textId="77777777" w:rsidTr="009477B6">
        <w:trPr>
          <w:cantSplit/>
          <w:trHeight w:val="755"/>
        </w:trPr>
        <w:tc>
          <w:tcPr>
            <w:tcW w:w="3052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EFBE5A" w14:textId="1D33C13A" w:rsidR="009A3CE6" w:rsidRDefault="009A3CE6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>Other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49665E1C" w14:textId="12560334" w:rsidR="009A3CE6" w:rsidRDefault="00635D87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Yes </w:t>
            </w:r>
            <w:r w:rsidR="00F51697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 xml:space="preserve"> No 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3522B9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</w:tbl>
    <w:p w14:paraId="52040526" w14:textId="77777777" w:rsidR="00A14E64" w:rsidRDefault="00A14E64" w:rsidP="00A14E64"/>
    <w:p w14:paraId="74F86408" w14:textId="33940EAE" w:rsidR="009A3CE6" w:rsidRPr="009477B6" w:rsidRDefault="009A3CE6" w:rsidP="009477B6">
      <w:pPr>
        <w:pStyle w:val="Heading1"/>
      </w:pPr>
      <w:r w:rsidRPr="009477B6">
        <w:t xml:space="preserve">Step 3. </w:t>
      </w:r>
    </w:p>
    <w:p w14:paraId="607AC559" w14:textId="0782CC4A" w:rsidR="009A3CE6" w:rsidRDefault="009A3CE6" w:rsidP="000B28A5">
      <w:r>
        <w:t xml:space="preserve">How do the </w:t>
      </w:r>
      <w:r w:rsidR="001E0864">
        <w:t xml:space="preserve">following </w:t>
      </w:r>
      <w:r>
        <w:t>principles align with the school</w:t>
      </w:r>
      <w:r w:rsidR="004556F8">
        <w:t xml:space="preserve"> </w:t>
      </w:r>
      <w:r w:rsidR="00142535">
        <w:t xml:space="preserve">or </w:t>
      </w:r>
      <w:r>
        <w:t>district vision, goals</w:t>
      </w:r>
      <w:r w:rsidRPr="1FEEF756">
        <w:t>,</w:t>
      </w:r>
      <w:r>
        <w:t xml:space="preserve"> and instructional principles?</w:t>
      </w:r>
      <w:r w:rsidR="00373F99">
        <w:t xml:space="preserve"> Record </w:t>
      </w:r>
      <w:r w:rsidR="00637BD9">
        <w:t xml:space="preserve">your </w:t>
      </w:r>
      <w:r w:rsidR="00373F99">
        <w:t>thoughts.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673"/>
        <w:gridCol w:w="4671"/>
      </w:tblGrid>
      <w:tr w:rsidR="009A3CE6" w14:paraId="0671DBF6" w14:textId="77777777" w:rsidTr="009477B6">
        <w:trPr>
          <w:cantSplit/>
          <w:tblHeader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F1C9B6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Principles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437EA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How do they align?</w:t>
            </w:r>
          </w:p>
        </w:tc>
      </w:tr>
      <w:tr w:rsidR="009A3CE6" w14:paraId="5C79E612" w14:textId="77777777" w:rsidTr="009477B6">
        <w:trPr>
          <w:cantSplit/>
        </w:trPr>
        <w:tc>
          <w:tcPr>
            <w:tcW w:w="46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01893" w14:textId="6B50C170" w:rsidR="009A3CE6" w:rsidRDefault="009A3CE6" w:rsidP="009477B6">
            <w:pPr>
              <w:spacing w:after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Schools </w:t>
            </w:r>
            <w:r w:rsidR="00637BD9">
              <w:rPr>
                <w:rFonts w:eastAsia="Arial" w:cs="Arial"/>
                <w:color w:val="000000" w:themeColor="text1"/>
              </w:rPr>
              <w:t>and districts</w:t>
            </w:r>
            <w:r>
              <w:rPr>
                <w:rFonts w:eastAsia="Arial" w:cs="Arial"/>
                <w:color w:val="000000" w:themeColor="text1"/>
              </w:rPr>
              <w:t xml:space="preserve"> build from students’ existing </w:t>
            </w:r>
            <w:r w:rsidR="00637BD9">
              <w:rPr>
                <w:rFonts w:eastAsia="Arial" w:cs="Arial"/>
                <w:color w:val="000000" w:themeColor="text1"/>
              </w:rPr>
              <w:t xml:space="preserve">strengths </w:t>
            </w:r>
            <w:r>
              <w:rPr>
                <w:rFonts w:eastAsia="Arial" w:cs="Arial"/>
                <w:color w:val="000000" w:themeColor="text1"/>
              </w:rPr>
              <w:t>and knowledge</w:t>
            </w:r>
            <w:r w:rsidRPr="1FEEF756">
              <w:rPr>
                <w:rFonts w:eastAsia="Arial" w:cs="Arial"/>
                <w:color w:val="000000" w:themeColor="text1"/>
              </w:rPr>
              <w:t>,</w:t>
            </w:r>
            <w:r>
              <w:rPr>
                <w:rFonts w:eastAsia="Arial" w:cs="Arial"/>
                <w:color w:val="000000" w:themeColor="text1"/>
              </w:rPr>
              <w:t xml:space="preserve"> and work to create systemic conditions that support the holistic success of </w:t>
            </w:r>
            <w:r w:rsidR="001E0864">
              <w:rPr>
                <w:rFonts w:eastAsia="Arial" w:cs="Arial"/>
                <w:color w:val="000000" w:themeColor="text1"/>
              </w:rPr>
              <w:t>English L</w:t>
            </w:r>
            <w:r>
              <w:rPr>
                <w:rFonts w:eastAsia="Arial" w:cs="Arial"/>
                <w:color w:val="000000" w:themeColor="text1"/>
              </w:rPr>
              <w:t>earners.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8B9FAF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  <w:tr w:rsidR="009A3CE6" w14:paraId="36BCB60D" w14:textId="77777777" w:rsidTr="009477B6">
        <w:trPr>
          <w:cantSplit/>
        </w:trPr>
        <w:tc>
          <w:tcPr>
            <w:tcW w:w="46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C3726" w14:textId="19E0BC49" w:rsidR="009A3CE6" w:rsidRDefault="009A3CE6" w:rsidP="009477B6">
            <w:pPr>
              <w:spacing w:after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Schools </w:t>
            </w:r>
            <w:r w:rsidR="00C64A40">
              <w:rPr>
                <w:rFonts w:eastAsia="Arial" w:cs="Arial"/>
                <w:color w:val="000000" w:themeColor="text1"/>
              </w:rPr>
              <w:t xml:space="preserve">and districts </w:t>
            </w:r>
            <w:r>
              <w:rPr>
                <w:rFonts w:eastAsia="Arial" w:cs="Arial"/>
                <w:color w:val="000000" w:themeColor="text1"/>
              </w:rPr>
              <w:t xml:space="preserve">value families and create strong family and community engagement. 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5C9B3F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  <w:tr w:rsidR="009A3CE6" w14:paraId="793862C4" w14:textId="77777777" w:rsidTr="009477B6">
        <w:trPr>
          <w:cantSplit/>
        </w:trPr>
        <w:tc>
          <w:tcPr>
            <w:tcW w:w="46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A0D570" w14:textId="5474109F" w:rsidR="009A3CE6" w:rsidRDefault="009A3CE6" w:rsidP="009477B6">
            <w:pPr>
              <w:spacing w:after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Schools </w:t>
            </w:r>
            <w:r w:rsidR="00C64A40">
              <w:rPr>
                <w:rFonts w:eastAsia="Arial" w:cs="Arial"/>
                <w:color w:val="000000" w:themeColor="text1"/>
              </w:rPr>
              <w:t xml:space="preserve">and districts </w:t>
            </w:r>
            <w:r>
              <w:rPr>
                <w:rFonts w:eastAsia="Arial" w:cs="Arial"/>
                <w:color w:val="000000" w:themeColor="text1"/>
              </w:rPr>
              <w:t>invest in policy, systems</w:t>
            </w:r>
            <w:r w:rsidRPr="1FEEF756">
              <w:rPr>
                <w:rFonts w:eastAsia="Arial" w:cs="Arial"/>
                <w:color w:val="000000" w:themeColor="text1"/>
              </w:rPr>
              <w:t>,</w:t>
            </w:r>
            <w:r>
              <w:rPr>
                <w:rFonts w:eastAsia="Arial" w:cs="Arial"/>
                <w:color w:val="000000" w:themeColor="text1"/>
              </w:rPr>
              <w:t xml:space="preserve"> and programming to create intentional and meaningful educational experiences for </w:t>
            </w:r>
            <w:r w:rsidR="00937087">
              <w:rPr>
                <w:rFonts w:eastAsia="Arial" w:cs="Arial"/>
                <w:color w:val="000000" w:themeColor="text1"/>
              </w:rPr>
              <w:t xml:space="preserve">all </w:t>
            </w:r>
            <w:r w:rsidR="001E0864">
              <w:rPr>
                <w:rFonts w:eastAsia="Arial" w:cs="Arial"/>
                <w:color w:val="000000" w:themeColor="text1"/>
              </w:rPr>
              <w:t>English L</w:t>
            </w:r>
            <w:r>
              <w:rPr>
                <w:rFonts w:eastAsia="Arial" w:cs="Arial"/>
                <w:color w:val="000000" w:themeColor="text1"/>
              </w:rPr>
              <w:t>earners.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8CC75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  <w:tr w:rsidR="009A3CE6" w14:paraId="7B0B16DA" w14:textId="77777777" w:rsidTr="009477B6">
        <w:trPr>
          <w:cantSplit/>
        </w:trPr>
        <w:tc>
          <w:tcPr>
            <w:tcW w:w="4680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3202BD" w14:textId="03AE7A3C" w:rsidR="009A3CE6" w:rsidRDefault="009A3CE6" w:rsidP="009477B6">
            <w:pPr>
              <w:spacing w:after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Schools </w:t>
            </w:r>
            <w:r w:rsidR="00906F28">
              <w:rPr>
                <w:rFonts w:eastAsia="Arial" w:cs="Arial"/>
                <w:color w:val="000000" w:themeColor="text1"/>
              </w:rPr>
              <w:t xml:space="preserve">and districts </w:t>
            </w:r>
            <w:r>
              <w:rPr>
                <w:rFonts w:eastAsia="Arial" w:cs="Arial"/>
                <w:color w:val="000000" w:themeColor="text1"/>
              </w:rPr>
              <w:t xml:space="preserve">coordinate mental health and other community resources to support the success of </w:t>
            </w:r>
            <w:r w:rsidR="001E0864">
              <w:rPr>
                <w:rFonts w:eastAsia="Arial" w:cs="Arial"/>
                <w:color w:val="000000" w:themeColor="text1"/>
              </w:rPr>
              <w:t>English L</w:t>
            </w:r>
            <w:r>
              <w:rPr>
                <w:rFonts w:eastAsia="Arial" w:cs="Arial"/>
                <w:color w:val="000000" w:themeColor="text1"/>
              </w:rPr>
              <w:t>earners.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9FBC64" w14:textId="77777777" w:rsidR="009A3CE6" w:rsidRDefault="009A3CE6" w:rsidP="009477B6">
            <w:pPr>
              <w:spacing w:after="0"/>
              <w:rPr>
                <w:rFonts w:eastAsia="Arial" w:cs="Arial"/>
              </w:rPr>
            </w:pPr>
          </w:p>
        </w:tc>
      </w:tr>
    </w:tbl>
    <w:p w14:paraId="26C94DCF" w14:textId="77777777" w:rsidR="008360AD" w:rsidRDefault="008360AD" w:rsidP="008360AD">
      <w:pPr>
        <w:spacing w:after="240"/>
        <w:rPr>
          <w:rFonts w:cs="Arial"/>
        </w:rPr>
      </w:pPr>
    </w:p>
    <w:p w14:paraId="10F38084" w14:textId="00F74D61" w:rsidR="003B1D6B" w:rsidRPr="007608FC" w:rsidRDefault="007608FC" w:rsidP="007608FC">
      <w:pPr>
        <w:rPr>
          <w:i/>
          <w:iCs/>
          <w:color w:val="700017"/>
          <w:sz w:val="20"/>
          <w:szCs w:val="20"/>
        </w:rPr>
      </w:pPr>
      <w:r w:rsidRPr="007608FC">
        <w:rPr>
          <w:rStyle w:val="ui-provider"/>
          <w:i/>
          <w:iCs/>
          <w:color w:val="700017"/>
          <w:sz w:val="20"/>
          <w:szCs w:val="20"/>
        </w:rPr>
        <w:t xml:space="preserve">These resources aim to bolster academic, student wellness and college and career outcomes for Ohio's </w:t>
      </w:r>
      <w:r w:rsidR="004556F8">
        <w:rPr>
          <w:rStyle w:val="ui-provider"/>
          <w:i/>
          <w:iCs/>
          <w:color w:val="700017"/>
          <w:sz w:val="20"/>
          <w:szCs w:val="20"/>
        </w:rPr>
        <w:t>English L</w:t>
      </w:r>
      <w:r w:rsidRPr="007608FC">
        <w:rPr>
          <w:rStyle w:val="ui-provider"/>
          <w:i/>
          <w:iCs/>
          <w:color w:val="700017"/>
          <w:sz w:val="20"/>
          <w:szCs w:val="20"/>
        </w:rPr>
        <w:t>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personnel</w:t>
      </w:r>
      <w:r w:rsidR="009477B6">
        <w:rPr>
          <w:rStyle w:val="ui-provider"/>
          <w:i/>
          <w:iCs/>
          <w:color w:val="700017"/>
          <w:sz w:val="20"/>
          <w:szCs w:val="20"/>
        </w:rPr>
        <w:t>,</w:t>
      </w:r>
      <w:r w:rsidRPr="007608FC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</w:p>
    <w:sectPr w:rsidR="003B1D6B" w:rsidRPr="007608FC" w:rsidSect="00E02981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1CC8" w14:textId="77777777" w:rsidR="009C57F6" w:rsidRDefault="009C57F6" w:rsidP="003B57CD">
      <w:pPr>
        <w:spacing w:after="0" w:line="240" w:lineRule="auto"/>
      </w:pPr>
      <w:r>
        <w:separator/>
      </w:r>
    </w:p>
  </w:endnote>
  <w:endnote w:type="continuationSeparator" w:id="0">
    <w:p w14:paraId="5CB4A476" w14:textId="77777777" w:rsidR="009C57F6" w:rsidRDefault="009C57F6" w:rsidP="003B57CD">
      <w:pPr>
        <w:spacing w:after="0" w:line="240" w:lineRule="auto"/>
      </w:pPr>
      <w:r>
        <w:continuationSeparator/>
      </w:r>
    </w:p>
  </w:endnote>
  <w:endnote w:type="continuationNotice" w:id="1">
    <w:p w14:paraId="0548E487" w14:textId="77777777" w:rsidR="009C57F6" w:rsidRDefault="009C5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  <w:p w14:paraId="2CB14900" w14:textId="77777777" w:rsidR="009F5689" w:rsidRDefault="009F56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46BB" w14:textId="0B8B8E77" w:rsidR="009F5689" w:rsidRPr="009477B6" w:rsidRDefault="00EF4F0B" w:rsidP="009477B6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9585" w14:textId="77777777" w:rsidR="009C57F6" w:rsidRDefault="009C57F6" w:rsidP="003B57CD">
      <w:pPr>
        <w:spacing w:after="0" w:line="240" w:lineRule="auto"/>
      </w:pPr>
      <w:r>
        <w:separator/>
      </w:r>
    </w:p>
  </w:footnote>
  <w:footnote w:type="continuationSeparator" w:id="0">
    <w:p w14:paraId="4DA18E25" w14:textId="77777777" w:rsidR="009C57F6" w:rsidRDefault="009C57F6" w:rsidP="003B57CD">
      <w:pPr>
        <w:spacing w:after="0" w:line="240" w:lineRule="auto"/>
      </w:pPr>
      <w:r>
        <w:continuationSeparator/>
      </w:r>
    </w:p>
  </w:footnote>
  <w:footnote w:type="continuationNotice" w:id="1">
    <w:p w14:paraId="5A97A69E" w14:textId="77777777" w:rsidR="009C57F6" w:rsidRDefault="009C57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  <w:p w14:paraId="7F819965" w14:textId="77777777" w:rsidR="009F5689" w:rsidRDefault="009F56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9A35" w14:textId="6B20192E" w:rsidR="009F5689" w:rsidRDefault="003B1D6B" w:rsidP="009477B6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59BC90CC" w14:textId="77777777" w:rsidR="009477B6" w:rsidRDefault="009477B6" w:rsidP="009477B6">
    <w:pPr>
      <w:pStyle w:val="Header"/>
      <w:tabs>
        <w:tab w:val="clear" w:pos="46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D53FDC"/>
    <w:multiLevelType w:val="hybridMultilevel"/>
    <w:tmpl w:val="3AB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3D1"/>
    <w:multiLevelType w:val="hybridMultilevel"/>
    <w:tmpl w:val="A44EE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622A"/>
    <w:multiLevelType w:val="hybridMultilevel"/>
    <w:tmpl w:val="640EC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A5B148C"/>
    <w:multiLevelType w:val="hybridMultilevel"/>
    <w:tmpl w:val="E8EA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C205A"/>
    <w:multiLevelType w:val="hybridMultilevel"/>
    <w:tmpl w:val="8D4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E6B0"/>
    <w:multiLevelType w:val="hybridMultilevel"/>
    <w:tmpl w:val="A27E31FC"/>
    <w:lvl w:ilvl="0" w:tplc="1EE8FB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44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A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3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A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0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69012E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50B5C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B7A9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4838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54C3C45"/>
    <w:multiLevelType w:val="hybridMultilevel"/>
    <w:tmpl w:val="BF546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0437E"/>
    <w:multiLevelType w:val="hybridMultilevel"/>
    <w:tmpl w:val="FF5AAF9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 w15:restartNumberingAfterBreak="0">
    <w:nsid w:val="474C660F"/>
    <w:multiLevelType w:val="multilevel"/>
    <w:tmpl w:val="C24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7411C"/>
    <w:multiLevelType w:val="hybridMultilevel"/>
    <w:tmpl w:val="BC267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97A3C"/>
    <w:multiLevelType w:val="hybridMultilevel"/>
    <w:tmpl w:val="3CA0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205DC"/>
    <w:multiLevelType w:val="hybridMultilevel"/>
    <w:tmpl w:val="C290C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47EA"/>
    <w:multiLevelType w:val="hybridMultilevel"/>
    <w:tmpl w:val="32487608"/>
    <w:lvl w:ilvl="0" w:tplc="BAB406C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6D3017CA"/>
    <w:multiLevelType w:val="hybridMultilevel"/>
    <w:tmpl w:val="CB52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65196818">
    <w:abstractNumId w:val="21"/>
  </w:num>
  <w:num w:numId="2" w16cid:durableId="840899127">
    <w:abstractNumId w:val="4"/>
  </w:num>
  <w:num w:numId="3" w16cid:durableId="1694960002">
    <w:abstractNumId w:val="13"/>
  </w:num>
  <w:num w:numId="4" w16cid:durableId="1576010038">
    <w:abstractNumId w:val="23"/>
  </w:num>
  <w:num w:numId="5" w16cid:durableId="714961821">
    <w:abstractNumId w:val="8"/>
  </w:num>
  <w:num w:numId="6" w16cid:durableId="1598174313">
    <w:abstractNumId w:val="0"/>
  </w:num>
  <w:num w:numId="7" w16cid:durableId="771051808">
    <w:abstractNumId w:val="11"/>
  </w:num>
  <w:num w:numId="8" w16cid:durableId="58677327">
    <w:abstractNumId w:val="9"/>
  </w:num>
  <w:num w:numId="9" w16cid:durableId="227347372">
    <w:abstractNumId w:val="22"/>
  </w:num>
  <w:num w:numId="10" w16cid:durableId="1393578027">
    <w:abstractNumId w:val="7"/>
  </w:num>
  <w:num w:numId="11" w16cid:durableId="740447992">
    <w:abstractNumId w:val="16"/>
  </w:num>
  <w:num w:numId="12" w16cid:durableId="463471238">
    <w:abstractNumId w:val="18"/>
  </w:num>
  <w:num w:numId="13" w16cid:durableId="515846051">
    <w:abstractNumId w:val="15"/>
  </w:num>
  <w:num w:numId="14" w16cid:durableId="40133584">
    <w:abstractNumId w:val="20"/>
  </w:num>
  <w:num w:numId="15" w16cid:durableId="649477144">
    <w:abstractNumId w:val="3"/>
  </w:num>
  <w:num w:numId="16" w16cid:durableId="1761024044">
    <w:abstractNumId w:val="2"/>
  </w:num>
  <w:num w:numId="17" w16cid:durableId="1832258072">
    <w:abstractNumId w:val="14"/>
  </w:num>
  <w:num w:numId="18" w16cid:durableId="588542575">
    <w:abstractNumId w:val="19"/>
  </w:num>
  <w:num w:numId="19" w16cid:durableId="1779985184">
    <w:abstractNumId w:val="17"/>
  </w:num>
  <w:num w:numId="20" w16cid:durableId="1989748368">
    <w:abstractNumId w:val="12"/>
  </w:num>
  <w:num w:numId="21" w16cid:durableId="1577590840">
    <w:abstractNumId w:val="6"/>
  </w:num>
  <w:num w:numId="22" w16cid:durableId="1385710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3134845">
    <w:abstractNumId w:val="10"/>
  </w:num>
  <w:num w:numId="24" w16cid:durableId="1777213635">
    <w:abstractNumId w:val="1"/>
  </w:num>
  <w:num w:numId="25" w16cid:durableId="205915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161CF"/>
    <w:rsid w:val="00031AD6"/>
    <w:rsid w:val="000419F3"/>
    <w:rsid w:val="00075226"/>
    <w:rsid w:val="00076B8C"/>
    <w:rsid w:val="00082249"/>
    <w:rsid w:val="0008293A"/>
    <w:rsid w:val="000B28A5"/>
    <w:rsid w:val="000D6F52"/>
    <w:rsid w:val="000F4768"/>
    <w:rsid w:val="000F72D5"/>
    <w:rsid w:val="000F7700"/>
    <w:rsid w:val="00114D99"/>
    <w:rsid w:val="00123FD7"/>
    <w:rsid w:val="00142535"/>
    <w:rsid w:val="0016337B"/>
    <w:rsid w:val="001713F8"/>
    <w:rsid w:val="0017430E"/>
    <w:rsid w:val="001936E1"/>
    <w:rsid w:val="00194CD3"/>
    <w:rsid w:val="001D6D4E"/>
    <w:rsid w:val="001E0864"/>
    <w:rsid w:val="001F606D"/>
    <w:rsid w:val="001F6FFB"/>
    <w:rsid w:val="00206A61"/>
    <w:rsid w:val="00216209"/>
    <w:rsid w:val="00246988"/>
    <w:rsid w:val="00260F9A"/>
    <w:rsid w:val="00282DAF"/>
    <w:rsid w:val="002840F6"/>
    <w:rsid w:val="0028555A"/>
    <w:rsid w:val="002A09C8"/>
    <w:rsid w:val="002C029E"/>
    <w:rsid w:val="002C2DE0"/>
    <w:rsid w:val="00313514"/>
    <w:rsid w:val="00313F79"/>
    <w:rsid w:val="00323197"/>
    <w:rsid w:val="00337A00"/>
    <w:rsid w:val="00337CD3"/>
    <w:rsid w:val="003404D0"/>
    <w:rsid w:val="00345FC7"/>
    <w:rsid w:val="00373F99"/>
    <w:rsid w:val="00380FFD"/>
    <w:rsid w:val="00385736"/>
    <w:rsid w:val="003928A2"/>
    <w:rsid w:val="003A1FD3"/>
    <w:rsid w:val="003B1D6B"/>
    <w:rsid w:val="003B5599"/>
    <w:rsid w:val="003B57CD"/>
    <w:rsid w:val="003C3489"/>
    <w:rsid w:val="003D450E"/>
    <w:rsid w:val="003E29B1"/>
    <w:rsid w:val="003E5120"/>
    <w:rsid w:val="004005E3"/>
    <w:rsid w:val="00421469"/>
    <w:rsid w:val="00436E48"/>
    <w:rsid w:val="004524D5"/>
    <w:rsid w:val="004556F8"/>
    <w:rsid w:val="004742A8"/>
    <w:rsid w:val="004D40B7"/>
    <w:rsid w:val="004D428B"/>
    <w:rsid w:val="005016BC"/>
    <w:rsid w:val="00511A0A"/>
    <w:rsid w:val="00563974"/>
    <w:rsid w:val="00573E58"/>
    <w:rsid w:val="00590C59"/>
    <w:rsid w:val="005A619E"/>
    <w:rsid w:val="005F2924"/>
    <w:rsid w:val="0061319E"/>
    <w:rsid w:val="00635D87"/>
    <w:rsid w:val="00636591"/>
    <w:rsid w:val="00637BD9"/>
    <w:rsid w:val="00643CD7"/>
    <w:rsid w:val="006555A5"/>
    <w:rsid w:val="00666D6B"/>
    <w:rsid w:val="0067448D"/>
    <w:rsid w:val="00675DE4"/>
    <w:rsid w:val="00676838"/>
    <w:rsid w:val="0069734D"/>
    <w:rsid w:val="006B0948"/>
    <w:rsid w:val="006C7509"/>
    <w:rsid w:val="006F1FDB"/>
    <w:rsid w:val="00712647"/>
    <w:rsid w:val="00741676"/>
    <w:rsid w:val="00742519"/>
    <w:rsid w:val="00746C0F"/>
    <w:rsid w:val="007608FC"/>
    <w:rsid w:val="00774532"/>
    <w:rsid w:val="007C37EB"/>
    <w:rsid w:val="007E35F6"/>
    <w:rsid w:val="007F6BDB"/>
    <w:rsid w:val="00803BF2"/>
    <w:rsid w:val="008043C4"/>
    <w:rsid w:val="00806E7E"/>
    <w:rsid w:val="00824478"/>
    <w:rsid w:val="008360AD"/>
    <w:rsid w:val="0085457E"/>
    <w:rsid w:val="00856275"/>
    <w:rsid w:val="00865878"/>
    <w:rsid w:val="008B0035"/>
    <w:rsid w:val="008F11FE"/>
    <w:rsid w:val="009043D6"/>
    <w:rsid w:val="00906F28"/>
    <w:rsid w:val="009122ED"/>
    <w:rsid w:val="00937087"/>
    <w:rsid w:val="009477B6"/>
    <w:rsid w:val="00963649"/>
    <w:rsid w:val="00996603"/>
    <w:rsid w:val="00996911"/>
    <w:rsid w:val="009A05CF"/>
    <w:rsid w:val="009A3CE6"/>
    <w:rsid w:val="009B0A88"/>
    <w:rsid w:val="009B0DC3"/>
    <w:rsid w:val="009C57F6"/>
    <w:rsid w:val="009D07A3"/>
    <w:rsid w:val="009F320C"/>
    <w:rsid w:val="009F3891"/>
    <w:rsid w:val="009F5689"/>
    <w:rsid w:val="00A03D6B"/>
    <w:rsid w:val="00A078A0"/>
    <w:rsid w:val="00A14E64"/>
    <w:rsid w:val="00A20D4A"/>
    <w:rsid w:val="00A3086A"/>
    <w:rsid w:val="00A44F19"/>
    <w:rsid w:val="00A56153"/>
    <w:rsid w:val="00A83D3A"/>
    <w:rsid w:val="00A9091C"/>
    <w:rsid w:val="00AE1A50"/>
    <w:rsid w:val="00B2045C"/>
    <w:rsid w:val="00B31DB9"/>
    <w:rsid w:val="00B740DA"/>
    <w:rsid w:val="00BB5B86"/>
    <w:rsid w:val="00BD3C43"/>
    <w:rsid w:val="00BD4236"/>
    <w:rsid w:val="00BF13C6"/>
    <w:rsid w:val="00C01B2B"/>
    <w:rsid w:val="00C421F4"/>
    <w:rsid w:val="00C47E96"/>
    <w:rsid w:val="00C64A40"/>
    <w:rsid w:val="00C734B7"/>
    <w:rsid w:val="00C742B8"/>
    <w:rsid w:val="00C8091A"/>
    <w:rsid w:val="00CA2864"/>
    <w:rsid w:val="00CA4742"/>
    <w:rsid w:val="00CB4888"/>
    <w:rsid w:val="00D07694"/>
    <w:rsid w:val="00D14FC3"/>
    <w:rsid w:val="00D276DC"/>
    <w:rsid w:val="00D317EB"/>
    <w:rsid w:val="00D64FC3"/>
    <w:rsid w:val="00D65FD2"/>
    <w:rsid w:val="00DA60B3"/>
    <w:rsid w:val="00DB711C"/>
    <w:rsid w:val="00DE0AF9"/>
    <w:rsid w:val="00E00C60"/>
    <w:rsid w:val="00E01451"/>
    <w:rsid w:val="00E02981"/>
    <w:rsid w:val="00E432D5"/>
    <w:rsid w:val="00E6046F"/>
    <w:rsid w:val="00E6303F"/>
    <w:rsid w:val="00E70206"/>
    <w:rsid w:val="00EA2982"/>
    <w:rsid w:val="00EA357C"/>
    <w:rsid w:val="00EE506A"/>
    <w:rsid w:val="00EF2098"/>
    <w:rsid w:val="00EF4F0B"/>
    <w:rsid w:val="00F101C4"/>
    <w:rsid w:val="00F51697"/>
    <w:rsid w:val="00F57C02"/>
    <w:rsid w:val="00F91602"/>
    <w:rsid w:val="00F92A6F"/>
    <w:rsid w:val="00FB34AE"/>
    <w:rsid w:val="00FD27DB"/>
    <w:rsid w:val="00FF2826"/>
    <w:rsid w:val="06D9899C"/>
    <w:rsid w:val="0902B4AC"/>
    <w:rsid w:val="0F71F630"/>
    <w:rsid w:val="1373B474"/>
    <w:rsid w:val="1B032D61"/>
    <w:rsid w:val="2062B490"/>
    <w:rsid w:val="2177EF24"/>
    <w:rsid w:val="226778DB"/>
    <w:rsid w:val="2A0996D6"/>
    <w:rsid w:val="34607410"/>
    <w:rsid w:val="41EFEC3D"/>
    <w:rsid w:val="42D95817"/>
    <w:rsid w:val="441ADBBC"/>
    <w:rsid w:val="4DF0AB20"/>
    <w:rsid w:val="5028E1F4"/>
    <w:rsid w:val="5323786B"/>
    <w:rsid w:val="5AEE4B9F"/>
    <w:rsid w:val="6EA6EE7E"/>
    <w:rsid w:val="6EF9F916"/>
    <w:rsid w:val="74884522"/>
    <w:rsid w:val="74DA5589"/>
    <w:rsid w:val="79ADC6AC"/>
    <w:rsid w:val="7C7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914E24D6-5DAA-4B4D-9D67-5A9323D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1"/>
    <w:qFormat/>
    <w:rsid w:val="006C7509"/>
    <w:pPr>
      <w:spacing w:line="240" w:lineRule="auto"/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16337B"/>
    <w:rPr>
      <w:color w:val="911F27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6337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character" w:customStyle="1" w:styleId="cf01">
    <w:name w:val="cf01"/>
    <w:basedOn w:val="DefaultParagraphFont"/>
    <w:rsid w:val="00EA298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666D6B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C3489"/>
  </w:style>
  <w:style w:type="character" w:customStyle="1" w:styleId="eop">
    <w:name w:val="eop"/>
    <w:basedOn w:val="DefaultParagraphFont"/>
    <w:rsid w:val="0026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51</AccountId>
        <AccountType/>
      </UserInfo>
      <UserInfo>
        <DisplayName>Lee, Sangeun</DisplayName>
        <AccountId>32</AccountId>
        <AccountType/>
      </UserInfo>
      <UserInfo>
        <DisplayName>Khanzada, Mehrunnisa</DisplayName>
        <AccountId>52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EF75DB-4C63-4619-B39E-FEC10FC2BFAD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a82ae0fa-6c6d-414e-95b8-cc8db881d1d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64ca774-996a-46e8-927f-2a14c6cfc84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27A972-2E53-4A7B-AEA8-629711BB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48</cp:revision>
  <dcterms:created xsi:type="dcterms:W3CDTF">2024-02-24T16:36:00Z</dcterms:created>
  <dcterms:modified xsi:type="dcterms:W3CDTF">2024-06-06T16:42:00Z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328600</vt:r8>
  </property>
</Properties>
</file>