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1345C" w14:textId="3B20CCEC" w:rsidR="00DB4DFB" w:rsidRPr="002F18EF" w:rsidRDefault="00B27EA3" w:rsidP="002F18EF">
      <w:pPr>
        <w:spacing w:before="8040" w:after="240"/>
        <w:jc w:val="center"/>
        <w:rPr>
          <w:sz w:val="52"/>
          <w:szCs w:val="52"/>
        </w:rPr>
      </w:pPr>
      <w:r w:rsidRPr="002F18EF">
        <w:rPr>
          <w:b/>
          <w:bCs/>
          <w:noProof/>
        </w:rPr>
        <w:drawing>
          <wp:anchor distT="0" distB="0" distL="114300" distR="114300" simplePos="0" relativeHeight="251658240" behindDoc="1" locked="0" layoutInCell="1" allowOverlap="1" wp14:anchorId="5F5180D5" wp14:editId="4B7CE36E">
            <wp:simplePos x="0" y="0"/>
            <wp:positionH relativeFrom="page">
              <wp:align>right</wp:align>
            </wp:positionH>
            <wp:positionV relativeFrom="paragraph">
              <wp:posOffset>-552259</wp:posOffset>
            </wp:positionV>
            <wp:extent cx="7783195" cy="10126345"/>
            <wp:effectExtent l="0" t="0" r="8255" b="8255"/>
            <wp:wrapNone/>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83195" cy="10126345"/>
                    </a:xfrm>
                    <a:prstGeom prst="rect">
                      <a:avLst/>
                    </a:prstGeom>
                  </pic:spPr>
                </pic:pic>
              </a:graphicData>
            </a:graphic>
            <wp14:sizeRelH relativeFrom="page">
              <wp14:pctWidth>0</wp14:pctWidth>
            </wp14:sizeRelH>
            <wp14:sizeRelV relativeFrom="page">
              <wp14:pctHeight>0</wp14:pctHeight>
            </wp14:sizeRelV>
          </wp:anchor>
        </w:drawing>
      </w:r>
      <w:r w:rsidR="00EC2821" w:rsidRPr="002F18EF">
        <w:rPr>
          <w:b/>
          <w:bCs/>
          <w:sz w:val="52"/>
          <w:szCs w:val="52"/>
        </w:rPr>
        <w:t>O</w:t>
      </w:r>
      <w:r w:rsidR="001A641E" w:rsidRPr="002F18EF">
        <w:rPr>
          <w:b/>
          <w:bCs/>
          <w:sz w:val="52"/>
          <w:szCs w:val="52"/>
        </w:rPr>
        <w:t>ne</w:t>
      </w:r>
      <w:r w:rsidR="00F02413" w:rsidRPr="002F18EF">
        <w:rPr>
          <w:sz w:val="52"/>
          <w:szCs w:val="52"/>
        </w:rPr>
        <w:t xml:space="preserve"> </w:t>
      </w:r>
      <w:r w:rsidR="001A641E" w:rsidRPr="002F18EF">
        <w:rPr>
          <w:b/>
          <w:bCs/>
          <w:sz w:val="52"/>
          <w:szCs w:val="52"/>
        </w:rPr>
        <w:t>Percent Waiver Extension Request for Reading, Mathematics and Science</w:t>
      </w:r>
    </w:p>
    <w:p w14:paraId="02877981" w14:textId="171A677A" w:rsidR="001A641E" w:rsidRPr="002F18EF" w:rsidRDefault="00EA374F" w:rsidP="00F02413">
      <w:pPr>
        <w:spacing w:after="240"/>
        <w:jc w:val="center"/>
        <w:rPr>
          <w:b/>
          <w:bCs/>
          <w:sz w:val="36"/>
          <w:szCs w:val="36"/>
        </w:rPr>
      </w:pPr>
      <w:r w:rsidRPr="002F18EF">
        <w:rPr>
          <w:b/>
          <w:bCs/>
          <w:sz w:val="36"/>
          <w:szCs w:val="36"/>
        </w:rPr>
        <w:t>ESEA section 111(b)(2)(D) and 34 CFR 200.6(c) and (d)</w:t>
      </w:r>
    </w:p>
    <w:p w14:paraId="765250FE" w14:textId="7FA22457" w:rsidR="00D01E72" w:rsidRPr="002F18EF" w:rsidRDefault="00D01E72" w:rsidP="00F02413">
      <w:pPr>
        <w:jc w:val="center"/>
        <w:rPr>
          <w:b/>
          <w:bCs/>
          <w:sz w:val="36"/>
          <w:szCs w:val="36"/>
        </w:rPr>
      </w:pPr>
      <w:r w:rsidRPr="002F18EF">
        <w:rPr>
          <w:b/>
          <w:bCs/>
          <w:sz w:val="36"/>
          <w:szCs w:val="36"/>
        </w:rPr>
        <w:t xml:space="preserve">Submission to </w:t>
      </w:r>
      <w:r w:rsidR="00810A46" w:rsidRPr="002F18EF">
        <w:rPr>
          <w:b/>
          <w:bCs/>
          <w:sz w:val="36"/>
          <w:szCs w:val="36"/>
        </w:rPr>
        <w:t>U.S. Department of Education</w:t>
      </w:r>
    </w:p>
    <w:p w14:paraId="4FD79AE9" w14:textId="6C2E68F1" w:rsidR="001026B9" w:rsidRPr="002F18EF" w:rsidRDefault="00810A46" w:rsidP="00F02413">
      <w:pPr>
        <w:jc w:val="center"/>
        <w:rPr>
          <w:sz w:val="28"/>
          <w:szCs w:val="28"/>
        </w:rPr>
      </w:pPr>
      <w:r w:rsidRPr="002F18EF">
        <w:rPr>
          <w:b/>
          <w:bCs/>
          <w:sz w:val="36"/>
          <w:szCs w:val="36"/>
        </w:rPr>
        <w:t>November 22, 2021</w:t>
      </w:r>
    </w:p>
    <w:p w14:paraId="56B67745" w14:textId="77777777" w:rsidR="00EC2821" w:rsidRDefault="00EC2821" w:rsidP="00191E6E">
      <w:pPr>
        <w:rPr>
          <w:sz w:val="28"/>
          <w:szCs w:val="28"/>
        </w:rPr>
      </w:pPr>
    </w:p>
    <w:p w14:paraId="13994EE6" w14:textId="1D5EBE47" w:rsidR="00EC2821" w:rsidRPr="001C10EB" w:rsidRDefault="00EC2821" w:rsidP="00191E6E">
      <w:pPr>
        <w:rPr>
          <w:sz w:val="28"/>
          <w:szCs w:val="28"/>
        </w:rPr>
        <w:sectPr w:rsidR="00EC2821" w:rsidRPr="001C10EB" w:rsidSect="00E46EA7">
          <w:footerReference w:type="default" r:id="rId13"/>
          <w:pgSz w:w="12240" w:h="15840" w:code="1"/>
          <w:pgMar w:top="1440" w:right="1440" w:bottom="1440" w:left="1440" w:header="720" w:footer="720" w:gutter="0"/>
          <w:cols w:space="720"/>
          <w:docGrid w:linePitch="360"/>
        </w:sectPr>
      </w:pPr>
    </w:p>
    <w:sdt>
      <w:sdtPr>
        <w:rPr>
          <w:rFonts w:eastAsiaTheme="minorHAnsi"/>
          <w:b w:val="0"/>
          <w:color w:val="auto"/>
        </w:rPr>
        <w:id w:val="-1191918310"/>
        <w:docPartObj>
          <w:docPartGallery w:val="Table of Contents"/>
          <w:docPartUnique/>
        </w:docPartObj>
      </w:sdtPr>
      <w:sdtEndPr>
        <w:rPr>
          <w:bCs/>
          <w:noProof/>
        </w:rPr>
      </w:sdtEndPr>
      <w:sdtContent>
        <w:p w14:paraId="45569A58" w14:textId="4DFA5993" w:rsidR="002B3151" w:rsidRDefault="002B3151">
          <w:pPr>
            <w:pStyle w:val="TOCHeading"/>
          </w:pPr>
          <w:r>
            <w:t>TABLE OF CONTENTS</w:t>
          </w:r>
        </w:p>
        <w:p w14:paraId="5348C8E7" w14:textId="77777777" w:rsidR="00ED3477" w:rsidRPr="00ED3477" w:rsidRDefault="00A7758B" w:rsidP="00ED3477">
          <w:pPr>
            <w:pStyle w:val="TOC1"/>
            <w:tabs>
              <w:tab w:val="right" w:leader="dot" w:pos="10790"/>
            </w:tabs>
            <w:rPr>
              <w:rFonts w:asciiTheme="minorHAnsi" w:eastAsiaTheme="minorEastAsia" w:hAnsiTheme="minorHAnsi" w:cstheme="minorBidi"/>
              <w:noProof/>
              <w:lang w:eastAsia="ja-JP"/>
            </w:rPr>
          </w:pPr>
          <w:hyperlink w:anchor="_Toc54954287" w:history="1">
            <w:r w:rsidR="00ED3477" w:rsidRPr="00ED3477">
              <w:rPr>
                <w:rStyle w:val="Hyperlink"/>
                <w:noProof/>
                <w:color w:val="auto"/>
              </w:rPr>
              <w:t>INTRODUCTION</w:t>
            </w:r>
            <w:r w:rsidR="00ED3477" w:rsidRPr="00ED3477">
              <w:rPr>
                <w:noProof/>
                <w:webHidden/>
              </w:rPr>
              <w:tab/>
              <w:t>2</w:t>
            </w:r>
          </w:hyperlink>
        </w:p>
        <w:p w14:paraId="2A502527" w14:textId="77777777" w:rsidR="00ED3477" w:rsidRPr="00ED3477" w:rsidRDefault="00A7758B" w:rsidP="00ED3477">
          <w:pPr>
            <w:pStyle w:val="TOC1"/>
            <w:tabs>
              <w:tab w:val="right" w:leader="dot" w:pos="10790"/>
            </w:tabs>
            <w:rPr>
              <w:rFonts w:asciiTheme="minorHAnsi" w:eastAsiaTheme="minorEastAsia" w:hAnsiTheme="minorHAnsi" w:cstheme="minorBidi"/>
              <w:noProof/>
              <w:lang w:eastAsia="ja-JP"/>
            </w:rPr>
          </w:pPr>
          <w:hyperlink w:anchor="_Toc54954290" w:history="1">
            <w:r w:rsidR="00ED3477" w:rsidRPr="00ED3477">
              <w:rPr>
                <w:rStyle w:val="Hyperlink"/>
                <w:b/>
                <w:bCs/>
                <w:noProof/>
                <w:color w:val="auto"/>
              </w:rPr>
              <w:t>TABLE 1: Participation in Alternate Assessment by Content Area Across Years (EdFacts)</w:t>
            </w:r>
            <w:r w:rsidR="00ED3477" w:rsidRPr="00ED3477">
              <w:rPr>
                <w:noProof/>
                <w:webHidden/>
              </w:rPr>
              <w:tab/>
              <w:t>2</w:t>
            </w:r>
          </w:hyperlink>
        </w:p>
        <w:p w14:paraId="5FAE1DD6" w14:textId="77777777" w:rsidR="00ED3477" w:rsidRPr="00ED3477" w:rsidRDefault="00A7758B" w:rsidP="00ED3477">
          <w:pPr>
            <w:pStyle w:val="TOC2"/>
            <w:tabs>
              <w:tab w:val="right" w:leader="dot" w:pos="10790"/>
            </w:tabs>
            <w:rPr>
              <w:rFonts w:asciiTheme="minorHAnsi" w:eastAsiaTheme="minorEastAsia" w:hAnsiTheme="minorHAnsi" w:cstheme="minorBidi"/>
              <w:noProof/>
              <w:lang w:eastAsia="ja-JP"/>
            </w:rPr>
          </w:pPr>
          <w:hyperlink w:anchor="_Toc54954291" w:history="1">
            <w:r w:rsidR="00ED3477" w:rsidRPr="00ED3477">
              <w:rPr>
                <w:rStyle w:val="Hyperlink"/>
                <w:noProof/>
                <w:color w:val="auto"/>
              </w:rPr>
              <w:t>Alignment to Ohio’s Strategic Plan for Education</w:t>
            </w:r>
            <w:r w:rsidR="00ED3477" w:rsidRPr="00ED3477">
              <w:rPr>
                <w:noProof/>
                <w:webHidden/>
              </w:rPr>
              <w:tab/>
              <w:t>4</w:t>
            </w:r>
          </w:hyperlink>
        </w:p>
        <w:p w14:paraId="35BB7E53" w14:textId="77777777" w:rsidR="00ED3477" w:rsidRPr="00ED3477" w:rsidRDefault="00A7758B" w:rsidP="00ED3477">
          <w:pPr>
            <w:pStyle w:val="TOC2"/>
            <w:tabs>
              <w:tab w:val="right" w:leader="dot" w:pos="10790"/>
            </w:tabs>
            <w:rPr>
              <w:rFonts w:asciiTheme="minorHAnsi" w:eastAsiaTheme="minorEastAsia" w:hAnsiTheme="minorHAnsi" w:cstheme="minorBidi"/>
              <w:noProof/>
              <w:lang w:eastAsia="ja-JP"/>
            </w:rPr>
          </w:pPr>
          <w:hyperlink w:anchor="_Toc54954293" w:history="1">
            <w:r w:rsidR="00ED3477" w:rsidRPr="00ED3477">
              <w:rPr>
                <w:rStyle w:val="Hyperlink"/>
                <w:noProof/>
                <w:color w:val="auto"/>
              </w:rPr>
              <w:t>Component 1</w:t>
            </w:r>
            <w:r w:rsidR="00ED3477" w:rsidRPr="00ED3477">
              <w:rPr>
                <w:noProof/>
                <w:webHidden/>
              </w:rPr>
              <w:tab/>
              <w:t>7</w:t>
            </w:r>
          </w:hyperlink>
        </w:p>
        <w:p w14:paraId="74E9F8FC" w14:textId="77777777" w:rsidR="00ED3477" w:rsidRPr="00ED3477" w:rsidRDefault="00A7758B" w:rsidP="00ED3477">
          <w:pPr>
            <w:pStyle w:val="TOC2"/>
            <w:tabs>
              <w:tab w:val="right" w:leader="dot" w:pos="10790"/>
            </w:tabs>
            <w:rPr>
              <w:noProof/>
            </w:rPr>
          </w:pPr>
          <w:hyperlink w:anchor="_Toc54954294" w:history="1">
            <w:r w:rsidR="00ED3477" w:rsidRPr="00ED3477">
              <w:rPr>
                <w:rStyle w:val="Hyperlink"/>
                <w:noProof/>
                <w:color w:val="auto"/>
              </w:rPr>
              <w:t>Component 2</w:t>
            </w:r>
            <w:r w:rsidR="00ED3477" w:rsidRPr="00ED3477">
              <w:rPr>
                <w:noProof/>
                <w:webHidden/>
              </w:rPr>
              <w:tab/>
              <w:t>7</w:t>
            </w:r>
          </w:hyperlink>
        </w:p>
        <w:p w14:paraId="4F01DCA6" w14:textId="5F098F1D" w:rsidR="00ED3477" w:rsidRPr="00AD2658" w:rsidRDefault="00ED3477" w:rsidP="00ED3477">
          <w:r w:rsidRPr="007048F5">
            <w:rPr>
              <w:b/>
              <w:bCs/>
              <w:u w:val="single"/>
            </w:rPr>
            <w:t>TABLE 2: 2020-2021 Participation in Alternate Assessment by Content Area</w:t>
          </w:r>
          <w:r w:rsidR="00B01E01">
            <w:rPr>
              <w:b/>
              <w:bCs/>
              <w:u w:val="single"/>
            </w:rPr>
            <w:t xml:space="preserve"> and Grade Level</w:t>
          </w:r>
          <w:r w:rsidR="00AD2658">
            <w:t>………</w:t>
          </w:r>
          <w:proofErr w:type="gramStart"/>
          <w:r w:rsidR="00AD2658">
            <w:t>…..</w:t>
          </w:r>
          <w:proofErr w:type="gramEnd"/>
          <w:r w:rsidR="00AD2658">
            <w:t>7</w:t>
          </w:r>
        </w:p>
        <w:p w14:paraId="157AA4F3" w14:textId="77777777" w:rsidR="00ED3477" w:rsidRPr="00ED3477" w:rsidRDefault="00A7758B" w:rsidP="00ED3477">
          <w:pPr>
            <w:pStyle w:val="TOC2"/>
            <w:tabs>
              <w:tab w:val="right" w:leader="dot" w:pos="10790"/>
            </w:tabs>
            <w:rPr>
              <w:rFonts w:asciiTheme="minorHAnsi" w:eastAsiaTheme="minorEastAsia" w:hAnsiTheme="minorHAnsi" w:cstheme="minorBidi"/>
              <w:noProof/>
              <w:lang w:eastAsia="ja-JP"/>
            </w:rPr>
          </w:pPr>
          <w:hyperlink w:anchor="_Toc54954295" w:history="1">
            <w:r w:rsidR="00ED3477" w:rsidRPr="00ED3477">
              <w:rPr>
                <w:rStyle w:val="Hyperlink"/>
                <w:noProof/>
                <w:color w:val="auto"/>
              </w:rPr>
              <w:t>Component 3A</w:t>
            </w:r>
            <w:r w:rsidR="00ED3477" w:rsidRPr="00ED3477">
              <w:rPr>
                <w:noProof/>
                <w:webHidden/>
              </w:rPr>
              <w:tab/>
              <w:t>9</w:t>
            </w:r>
          </w:hyperlink>
        </w:p>
        <w:p w14:paraId="1D16AD2F" w14:textId="77777777" w:rsidR="00ED3477" w:rsidRPr="00ED3477" w:rsidRDefault="00A7758B" w:rsidP="00ED3477">
          <w:pPr>
            <w:pStyle w:val="TOC3"/>
            <w:tabs>
              <w:tab w:val="right" w:leader="dot" w:pos="10790"/>
            </w:tabs>
            <w:rPr>
              <w:rFonts w:asciiTheme="minorHAnsi" w:eastAsiaTheme="minorEastAsia" w:hAnsiTheme="minorHAnsi" w:cstheme="minorBidi"/>
              <w:noProof/>
              <w:lang w:eastAsia="ja-JP"/>
            </w:rPr>
          </w:pPr>
          <w:hyperlink w:anchor="_Toc54954296" w:history="1">
            <w:r w:rsidR="00ED3477" w:rsidRPr="00ED3477">
              <w:rPr>
                <w:rStyle w:val="Hyperlink"/>
                <w:noProof/>
                <w:color w:val="auto"/>
              </w:rPr>
              <w:t>Evidence of Progress</w:t>
            </w:r>
            <w:r w:rsidR="00ED3477" w:rsidRPr="00ED3477">
              <w:rPr>
                <w:noProof/>
                <w:webHidden/>
              </w:rPr>
              <w:tab/>
              <w:t>9</w:t>
            </w:r>
          </w:hyperlink>
        </w:p>
        <w:p w14:paraId="09FEB2AD" w14:textId="77777777" w:rsidR="00ED3477" w:rsidRPr="00ED3477" w:rsidRDefault="00A7758B" w:rsidP="00ED3477">
          <w:pPr>
            <w:pStyle w:val="TOC2"/>
            <w:tabs>
              <w:tab w:val="right" w:leader="dot" w:pos="10790"/>
            </w:tabs>
            <w:rPr>
              <w:rFonts w:asciiTheme="minorHAnsi" w:eastAsiaTheme="minorEastAsia" w:hAnsiTheme="minorHAnsi" w:cstheme="minorBidi"/>
              <w:noProof/>
              <w:lang w:eastAsia="ja-JP"/>
            </w:rPr>
          </w:pPr>
          <w:hyperlink w:anchor="_Toc54954297" w:history="1">
            <w:r w:rsidR="00ED3477" w:rsidRPr="00ED3477">
              <w:rPr>
                <w:rStyle w:val="Hyperlink"/>
                <w:noProof/>
                <w:color w:val="auto"/>
              </w:rPr>
              <w:t>Component 3B</w:t>
            </w:r>
            <w:r w:rsidR="00ED3477" w:rsidRPr="00ED3477">
              <w:rPr>
                <w:noProof/>
                <w:webHidden/>
              </w:rPr>
              <w:tab/>
              <w:t>10</w:t>
            </w:r>
          </w:hyperlink>
        </w:p>
        <w:p w14:paraId="0B195F15" w14:textId="77777777" w:rsidR="00ED3477" w:rsidRPr="00ED3477" w:rsidRDefault="00A7758B" w:rsidP="00ED3477">
          <w:pPr>
            <w:pStyle w:val="TOC3"/>
            <w:tabs>
              <w:tab w:val="right" w:leader="dot" w:pos="10790"/>
            </w:tabs>
            <w:rPr>
              <w:rFonts w:asciiTheme="minorHAnsi" w:eastAsiaTheme="minorEastAsia" w:hAnsiTheme="minorHAnsi" w:cstheme="minorBidi"/>
              <w:noProof/>
              <w:lang w:eastAsia="ja-JP"/>
            </w:rPr>
          </w:pPr>
          <w:hyperlink w:anchor="_Toc54954298" w:history="1">
            <w:r w:rsidR="00ED3477" w:rsidRPr="00ED3477">
              <w:rPr>
                <w:rStyle w:val="Hyperlink"/>
                <w:noProof/>
                <w:color w:val="auto"/>
              </w:rPr>
              <w:t>Evidence of Progress</w:t>
            </w:r>
            <w:r w:rsidR="00ED3477" w:rsidRPr="00ED3477">
              <w:rPr>
                <w:noProof/>
                <w:webHidden/>
              </w:rPr>
              <w:tab/>
              <w:t>10</w:t>
            </w:r>
          </w:hyperlink>
        </w:p>
        <w:p w14:paraId="67616000" w14:textId="77777777" w:rsidR="00ED3477" w:rsidRPr="00ED3477" w:rsidRDefault="00A7758B" w:rsidP="00ED3477">
          <w:pPr>
            <w:pStyle w:val="TOC2"/>
            <w:tabs>
              <w:tab w:val="right" w:leader="dot" w:pos="10790"/>
            </w:tabs>
            <w:rPr>
              <w:rFonts w:asciiTheme="minorHAnsi" w:eastAsiaTheme="minorEastAsia" w:hAnsiTheme="minorHAnsi" w:cstheme="minorBidi"/>
              <w:noProof/>
              <w:lang w:eastAsia="ja-JP"/>
            </w:rPr>
          </w:pPr>
          <w:hyperlink w:anchor="_Toc54954299" w:history="1">
            <w:r w:rsidR="00ED3477" w:rsidRPr="00ED3477">
              <w:rPr>
                <w:rStyle w:val="Hyperlink"/>
                <w:noProof/>
                <w:color w:val="auto"/>
              </w:rPr>
              <w:t>Component 4A</w:t>
            </w:r>
            <w:r w:rsidR="00ED3477" w:rsidRPr="00ED3477">
              <w:rPr>
                <w:noProof/>
                <w:webHidden/>
              </w:rPr>
              <w:tab/>
              <w:t>10</w:t>
            </w:r>
          </w:hyperlink>
        </w:p>
        <w:p w14:paraId="1DACC2C2" w14:textId="77777777" w:rsidR="00ED3477" w:rsidRPr="00ED3477" w:rsidRDefault="00A7758B" w:rsidP="00ED3477">
          <w:pPr>
            <w:pStyle w:val="TOC3"/>
            <w:tabs>
              <w:tab w:val="right" w:leader="dot" w:pos="10790"/>
            </w:tabs>
            <w:rPr>
              <w:rFonts w:asciiTheme="minorHAnsi" w:eastAsiaTheme="minorEastAsia" w:hAnsiTheme="minorHAnsi" w:cstheme="minorBidi"/>
              <w:noProof/>
              <w:lang w:eastAsia="ja-JP"/>
            </w:rPr>
          </w:pPr>
          <w:hyperlink w:anchor="_Toc54954300" w:history="1">
            <w:r w:rsidR="00ED3477" w:rsidRPr="00ED3477">
              <w:rPr>
                <w:rStyle w:val="Hyperlink"/>
                <w:noProof/>
                <w:color w:val="auto"/>
              </w:rPr>
              <w:t>Evidence of Progress</w:t>
            </w:r>
            <w:r w:rsidR="00ED3477" w:rsidRPr="00ED3477">
              <w:rPr>
                <w:noProof/>
                <w:webHidden/>
              </w:rPr>
              <w:tab/>
              <w:t>11</w:t>
            </w:r>
          </w:hyperlink>
        </w:p>
        <w:p w14:paraId="07B84F64" w14:textId="77427D3B" w:rsidR="00ED3477" w:rsidRPr="00ED3477" w:rsidRDefault="00A7758B" w:rsidP="00ED3477">
          <w:pPr>
            <w:pStyle w:val="TOC3"/>
            <w:tabs>
              <w:tab w:val="right" w:leader="dot" w:pos="10790"/>
            </w:tabs>
            <w:rPr>
              <w:rFonts w:asciiTheme="minorHAnsi" w:eastAsiaTheme="minorEastAsia" w:hAnsiTheme="minorHAnsi" w:cstheme="minorBidi"/>
              <w:noProof/>
              <w:lang w:eastAsia="ja-JP"/>
            </w:rPr>
          </w:pPr>
          <w:hyperlink w:anchor="_Toc54954301" w:history="1">
            <w:r w:rsidR="00ED3477" w:rsidRPr="00ED3477">
              <w:rPr>
                <w:rStyle w:val="Hyperlink"/>
                <w:noProof/>
                <w:color w:val="auto"/>
              </w:rPr>
              <w:t>Timeline for Improving Implementation of Guidelines</w:t>
            </w:r>
            <w:r w:rsidR="00ED3477" w:rsidRPr="00ED3477">
              <w:rPr>
                <w:noProof/>
                <w:webHidden/>
              </w:rPr>
              <w:tab/>
            </w:r>
            <w:r w:rsidR="00ED3477" w:rsidRPr="00ED3477">
              <w:rPr>
                <w:noProof/>
                <w:webHidden/>
              </w:rPr>
              <w:fldChar w:fldCharType="begin"/>
            </w:r>
            <w:r w:rsidR="00ED3477" w:rsidRPr="00ED3477">
              <w:rPr>
                <w:noProof/>
                <w:webHidden/>
              </w:rPr>
              <w:instrText xml:space="preserve"> PAGEREF _Toc54954301 \h </w:instrText>
            </w:r>
            <w:r w:rsidR="00ED3477" w:rsidRPr="00ED3477">
              <w:rPr>
                <w:noProof/>
                <w:webHidden/>
              </w:rPr>
            </w:r>
            <w:r w:rsidR="00ED3477" w:rsidRPr="00ED3477">
              <w:rPr>
                <w:noProof/>
                <w:webHidden/>
              </w:rPr>
              <w:fldChar w:fldCharType="separate"/>
            </w:r>
            <w:r w:rsidR="00ED3477" w:rsidRPr="00ED3477">
              <w:rPr>
                <w:noProof/>
                <w:webHidden/>
              </w:rPr>
              <w:t>11</w:t>
            </w:r>
            <w:r w:rsidR="00ED3477" w:rsidRPr="00ED3477">
              <w:rPr>
                <w:noProof/>
                <w:webHidden/>
              </w:rPr>
              <w:fldChar w:fldCharType="end"/>
            </w:r>
          </w:hyperlink>
        </w:p>
        <w:p w14:paraId="44CA6AAC" w14:textId="77777777" w:rsidR="00ED3477" w:rsidRPr="00ED3477" w:rsidRDefault="00A7758B" w:rsidP="00ED3477">
          <w:pPr>
            <w:pStyle w:val="TOC2"/>
            <w:tabs>
              <w:tab w:val="right" w:leader="dot" w:pos="10790"/>
            </w:tabs>
            <w:rPr>
              <w:rFonts w:asciiTheme="minorHAnsi" w:eastAsiaTheme="minorEastAsia" w:hAnsiTheme="minorHAnsi" w:cstheme="minorBidi"/>
              <w:noProof/>
              <w:lang w:eastAsia="ja-JP"/>
            </w:rPr>
          </w:pPr>
          <w:hyperlink w:anchor="_Toc54954304" w:history="1">
            <w:r w:rsidR="00ED3477" w:rsidRPr="00ED3477">
              <w:rPr>
                <w:rStyle w:val="Hyperlink"/>
                <w:noProof/>
                <w:color w:val="auto"/>
              </w:rPr>
              <w:t>Component 4B</w:t>
            </w:r>
            <w:r w:rsidR="00ED3477" w:rsidRPr="00ED3477">
              <w:rPr>
                <w:noProof/>
                <w:webHidden/>
              </w:rPr>
              <w:tab/>
              <w:t>11</w:t>
            </w:r>
          </w:hyperlink>
        </w:p>
        <w:p w14:paraId="246B1CEE" w14:textId="77777777" w:rsidR="00ED3477" w:rsidRPr="00ED3477" w:rsidRDefault="00A7758B" w:rsidP="00ED3477">
          <w:pPr>
            <w:pStyle w:val="TOC3"/>
            <w:tabs>
              <w:tab w:val="right" w:leader="dot" w:pos="10790"/>
            </w:tabs>
            <w:rPr>
              <w:rFonts w:asciiTheme="minorHAnsi" w:eastAsiaTheme="minorEastAsia" w:hAnsiTheme="minorHAnsi" w:cstheme="minorBidi"/>
              <w:noProof/>
              <w:lang w:eastAsia="ja-JP"/>
            </w:rPr>
          </w:pPr>
          <w:hyperlink w:anchor="_Toc54954305" w:history="1">
            <w:r w:rsidR="00ED3477" w:rsidRPr="00ED3477">
              <w:rPr>
                <w:rStyle w:val="Hyperlink"/>
                <w:noProof/>
                <w:color w:val="auto"/>
              </w:rPr>
              <w:t>Tiered Intervention and Monitoring Plan</w:t>
            </w:r>
            <w:r w:rsidR="00ED3477" w:rsidRPr="00ED3477">
              <w:rPr>
                <w:noProof/>
                <w:webHidden/>
              </w:rPr>
              <w:tab/>
              <w:t>11</w:t>
            </w:r>
          </w:hyperlink>
        </w:p>
        <w:p w14:paraId="3C41A523" w14:textId="77777777" w:rsidR="00ED3477" w:rsidRPr="00ED3477" w:rsidRDefault="00A7758B" w:rsidP="00ED3477">
          <w:pPr>
            <w:pStyle w:val="TOC3"/>
            <w:tabs>
              <w:tab w:val="right" w:leader="dot" w:pos="10790"/>
            </w:tabs>
            <w:rPr>
              <w:rFonts w:asciiTheme="minorHAnsi" w:eastAsiaTheme="minorEastAsia" w:hAnsiTheme="minorHAnsi" w:cstheme="minorBidi"/>
              <w:noProof/>
              <w:lang w:eastAsia="ja-JP"/>
            </w:rPr>
          </w:pPr>
          <w:hyperlink w:anchor="_Toc54954306" w:history="1">
            <w:r w:rsidR="00ED3477" w:rsidRPr="00ED3477">
              <w:rPr>
                <w:rStyle w:val="Hyperlink"/>
                <w:noProof/>
                <w:color w:val="auto"/>
              </w:rPr>
              <w:t>Evidence of Progress: Tier 3</w:t>
            </w:r>
            <w:r w:rsidR="00ED3477" w:rsidRPr="00ED3477">
              <w:rPr>
                <w:noProof/>
                <w:webHidden/>
              </w:rPr>
              <w:tab/>
              <w:t>14</w:t>
            </w:r>
          </w:hyperlink>
        </w:p>
        <w:p w14:paraId="3D68FEEA" w14:textId="77777777" w:rsidR="00ED3477" w:rsidRPr="00ED3477" w:rsidRDefault="00A7758B" w:rsidP="00ED3477">
          <w:pPr>
            <w:pStyle w:val="TOC3"/>
            <w:tabs>
              <w:tab w:val="right" w:leader="dot" w:pos="10790"/>
            </w:tabs>
            <w:rPr>
              <w:rFonts w:asciiTheme="minorHAnsi" w:eastAsiaTheme="minorEastAsia" w:hAnsiTheme="minorHAnsi" w:cstheme="minorBidi"/>
              <w:noProof/>
              <w:lang w:eastAsia="ja-JP"/>
            </w:rPr>
          </w:pPr>
          <w:hyperlink w:anchor="_Toc54954307" w:history="1">
            <w:r w:rsidR="00ED3477" w:rsidRPr="00ED3477">
              <w:rPr>
                <w:rStyle w:val="Hyperlink"/>
                <w:noProof/>
                <w:color w:val="auto"/>
              </w:rPr>
              <w:t>Evidence of Progress: Tier 2</w:t>
            </w:r>
            <w:r w:rsidR="00ED3477" w:rsidRPr="00ED3477">
              <w:rPr>
                <w:noProof/>
                <w:webHidden/>
              </w:rPr>
              <w:tab/>
              <w:t>15</w:t>
            </w:r>
          </w:hyperlink>
        </w:p>
        <w:p w14:paraId="000830A0" w14:textId="77777777" w:rsidR="00ED3477" w:rsidRPr="00ED3477" w:rsidRDefault="00A7758B" w:rsidP="00ED3477">
          <w:pPr>
            <w:pStyle w:val="TOC3"/>
            <w:tabs>
              <w:tab w:val="right" w:leader="dot" w:pos="10790"/>
            </w:tabs>
            <w:rPr>
              <w:rFonts w:asciiTheme="minorHAnsi" w:eastAsiaTheme="minorEastAsia" w:hAnsiTheme="minorHAnsi" w:cstheme="minorBidi"/>
              <w:noProof/>
              <w:lang w:eastAsia="ja-JP"/>
            </w:rPr>
          </w:pPr>
          <w:hyperlink w:anchor="_Toc54954308" w:history="1">
            <w:r w:rsidR="00ED3477" w:rsidRPr="00ED3477">
              <w:rPr>
                <w:rStyle w:val="Hyperlink"/>
                <w:noProof/>
                <w:color w:val="auto"/>
              </w:rPr>
              <w:t>Evidence of Progress: Tier 1</w:t>
            </w:r>
            <w:r w:rsidR="00ED3477" w:rsidRPr="00ED3477">
              <w:rPr>
                <w:noProof/>
                <w:webHidden/>
              </w:rPr>
              <w:tab/>
              <w:t>15</w:t>
            </w:r>
          </w:hyperlink>
        </w:p>
        <w:p w14:paraId="553E26E4" w14:textId="77777777" w:rsidR="00ED3477" w:rsidRPr="00ED3477" w:rsidRDefault="00A7758B" w:rsidP="00ED3477">
          <w:pPr>
            <w:pStyle w:val="TOC1"/>
            <w:tabs>
              <w:tab w:val="right" w:leader="dot" w:pos="10790"/>
            </w:tabs>
            <w:rPr>
              <w:rFonts w:asciiTheme="minorHAnsi" w:eastAsiaTheme="minorEastAsia" w:hAnsiTheme="minorHAnsi" w:cstheme="minorBidi"/>
              <w:noProof/>
              <w:lang w:eastAsia="ja-JP"/>
            </w:rPr>
          </w:pPr>
          <w:hyperlink w:anchor="_Toc54954309" w:history="1">
            <w:r w:rsidR="00ED3477" w:rsidRPr="00ED3477">
              <w:rPr>
                <w:rStyle w:val="Hyperlink"/>
                <w:noProof/>
                <w:color w:val="auto"/>
              </w:rPr>
              <w:t>ACTION STEPS FOR 2021-2022</w:t>
            </w:r>
            <w:r w:rsidR="00ED3477" w:rsidRPr="00ED3477">
              <w:rPr>
                <w:noProof/>
                <w:webHidden/>
              </w:rPr>
              <w:tab/>
              <w:t>18</w:t>
            </w:r>
          </w:hyperlink>
        </w:p>
        <w:p w14:paraId="266C0879" w14:textId="49E4C179" w:rsidR="002B3151" w:rsidRPr="00ED3477" w:rsidRDefault="00A7758B" w:rsidP="00ED3477">
          <w:hyperlink w:anchor="_Toc54954310" w:history="1">
            <w:r w:rsidR="00ED3477" w:rsidRPr="00ED3477">
              <w:rPr>
                <w:rStyle w:val="Hyperlink"/>
                <w:noProof/>
                <w:color w:val="auto"/>
              </w:rPr>
              <w:t>APPENDICES</w:t>
            </w:r>
            <w:r w:rsidR="00ED3477" w:rsidRPr="00ED3477">
              <w:rPr>
                <w:noProof/>
                <w:webHidden/>
              </w:rPr>
              <w:tab/>
            </w:r>
            <w:r w:rsidR="008F58B4">
              <w:rPr>
                <w:noProof/>
                <w:webHidden/>
              </w:rPr>
              <w:t>………………………………………………………………………………………………………….…19</w:t>
            </w:r>
            <w:r w:rsidR="00ED3477" w:rsidRPr="00ED3477">
              <w:rPr>
                <w:noProof/>
                <w:webHidden/>
              </w:rPr>
              <w:tab/>
            </w:r>
          </w:hyperlink>
        </w:p>
      </w:sdtContent>
    </w:sdt>
    <w:p w14:paraId="5C656B71" w14:textId="77CBEB5F" w:rsidR="00893ADA" w:rsidRDefault="00893ADA">
      <w:pPr>
        <w:spacing w:line="259" w:lineRule="auto"/>
        <w:rPr>
          <w:b/>
          <w:bCs/>
          <w:color w:val="2F5496" w:themeColor="accent1" w:themeShade="BF"/>
          <w:sz w:val="24"/>
          <w:szCs w:val="24"/>
        </w:rPr>
      </w:pPr>
      <w:bookmarkStart w:id="0" w:name="_Toc524527555"/>
      <w:bookmarkStart w:id="1" w:name="_Toc20039344"/>
      <w:bookmarkStart w:id="2" w:name="_Toc54954287"/>
      <w:r>
        <w:rPr>
          <w:b/>
          <w:bCs/>
          <w:color w:val="2F5496" w:themeColor="accent1" w:themeShade="BF"/>
          <w:sz w:val="24"/>
          <w:szCs w:val="24"/>
        </w:rPr>
        <w:br w:type="page"/>
      </w:r>
    </w:p>
    <w:p w14:paraId="3DFA336D" w14:textId="67DF2A7A" w:rsidR="002C3584" w:rsidRPr="005E2D1A" w:rsidRDefault="001026B9" w:rsidP="005E2D1A">
      <w:pPr>
        <w:rPr>
          <w:b/>
          <w:bCs/>
          <w:sz w:val="24"/>
          <w:szCs w:val="24"/>
        </w:rPr>
      </w:pPr>
      <w:r w:rsidRPr="005E2D1A">
        <w:rPr>
          <w:b/>
          <w:bCs/>
          <w:color w:val="2F5496" w:themeColor="accent1" w:themeShade="BF"/>
          <w:sz w:val="24"/>
          <w:szCs w:val="24"/>
        </w:rPr>
        <w:lastRenderedPageBreak/>
        <w:t>INTRODUCTION</w:t>
      </w:r>
      <w:bookmarkEnd w:id="0"/>
      <w:bookmarkEnd w:id="1"/>
      <w:bookmarkEnd w:id="2"/>
    </w:p>
    <w:p w14:paraId="690ECB8F" w14:textId="0D1BC2FA" w:rsidR="00932B93" w:rsidRDefault="41A63A70" w:rsidP="005822E4">
      <w:r w:rsidRPr="00F06275">
        <w:t>Title I of the Elementary and Secondary Education Act of 1965</w:t>
      </w:r>
      <w:r w:rsidR="0071434C">
        <w:t>,</w:t>
      </w:r>
      <w:r w:rsidRPr="00F06275">
        <w:t xml:space="preserve"> amended by </w:t>
      </w:r>
      <w:proofErr w:type="gramStart"/>
      <w:r w:rsidR="008D5373" w:rsidRPr="00F06275">
        <w:t>the Every</w:t>
      </w:r>
      <w:proofErr w:type="gramEnd"/>
      <w:r w:rsidRPr="00F06275">
        <w:t xml:space="preserve"> Student Succeeds Act</w:t>
      </w:r>
      <w:r w:rsidR="00563E08" w:rsidRPr="00F06275">
        <w:t xml:space="preserve"> of </w:t>
      </w:r>
      <w:r w:rsidR="00DD7416" w:rsidRPr="00F06275">
        <w:t>2015</w:t>
      </w:r>
      <w:r w:rsidRPr="00F06275">
        <w:t xml:space="preserve">, addresses alternate assessments for students with the most significant cognitive disabilities. </w:t>
      </w:r>
      <w:r w:rsidR="005E2D63">
        <w:t>E</w:t>
      </w:r>
      <w:r w:rsidRPr="00F06275">
        <w:t xml:space="preserve">ach state must submit a waiver request to the </w:t>
      </w:r>
      <w:r w:rsidR="00971992" w:rsidRPr="00F06275">
        <w:t>U.S.</w:t>
      </w:r>
      <w:r w:rsidRPr="00F06275">
        <w:t xml:space="preserve"> Department of Education if it predicts exceeding 1</w:t>
      </w:r>
      <w:r w:rsidR="517523B8">
        <w:t>.0</w:t>
      </w:r>
      <w:r w:rsidRPr="00F06275">
        <w:t xml:space="preserve"> percent participation in the alternate assessment in a subj</w:t>
      </w:r>
      <w:r w:rsidR="00563E08" w:rsidRPr="00F06275">
        <w:t>ect</w:t>
      </w:r>
      <w:r w:rsidR="005E2D63">
        <w:t xml:space="preserve">. </w:t>
      </w:r>
      <w:r w:rsidR="001B4CEE" w:rsidRPr="00F06275">
        <w:t xml:space="preserve">Ohio submitted and was granted a waiver for school year </w:t>
      </w:r>
      <w:r w:rsidR="00563E08" w:rsidRPr="00F06275">
        <w:t>201</w:t>
      </w:r>
      <w:r w:rsidR="001E21FC" w:rsidRPr="00F06275">
        <w:t>7</w:t>
      </w:r>
      <w:r w:rsidR="00563E08" w:rsidRPr="00F06275">
        <w:t>-201</w:t>
      </w:r>
      <w:r w:rsidR="001E21FC" w:rsidRPr="00F06275">
        <w:t>8</w:t>
      </w:r>
      <w:r w:rsidR="001B4CEE" w:rsidRPr="00F06275">
        <w:t xml:space="preserve">. </w:t>
      </w:r>
      <w:r w:rsidR="000817FA" w:rsidRPr="00F06275">
        <w:t>Ohio submitted and was granted a waiver</w:t>
      </w:r>
      <w:r w:rsidR="000817FA">
        <w:t xml:space="preserve"> extension request</w:t>
      </w:r>
      <w:r w:rsidR="000817FA" w:rsidRPr="00F06275">
        <w:t xml:space="preserve"> for school year </w:t>
      </w:r>
      <w:r w:rsidR="006539BB">
        <w:t>20</w:t>
      </w:r>
      <w:r w:rsidR="007A6F90">
        <w:t>20</w:t>
      </w:r>
      <w:r w:rsidR="006539BB">
        <w:t>-202</w:t>
      </w:r>
      <w:r w:rsidR="007A6F90">
        <w:t>1</w:t>
      </w:r>
      <w:r w:rsidR="000817FA" w:rsidRPr="00F06275">
        <w:t>.</w:t>
      </w:r>
      <w:r w:rsidR="002776C6">
        <w:t xml:space="preserve"> </w:t>
      </w:r>
    </w:p>
    <w:p w14:paraId="07F0772E" w14:textId="60C63A83" w:rsidR="00C24E65" w:rsidRDefault="001B4CEE" w:rsidP="0088010E">
      <w:pPr>
        <w:rPr>
          <w:rStyle w:val="normaltextrun"/>
          <w:color w:val="000000"/>
          <w:shd w:val="clear" w:color="auto" w:fill="FFFFFF"/>
        </w:rPr>
      </w:pPr>
      <w:r w:rsidRPr="00F06275">
        <w:t>Ohio’s</w:t>
      </w:r>
      <w:r w:rsidR="00563E08" w:rsidRPr="00F06275">
        <w:t xml:space="preserve"> alternat</w:t>
      </w:r>
      <w:r w:rsidR="41A63A70" w:rsidRPr="00F06275">
        <w:t>e assessment participation rate</w:t>
      </w:r>
      <w:r w:rsidR="009676F4">
        <w:t>s were</w:t>
      </w:r>
      <w:r w:rsidR="41A63A70" w:rsidRPr="00F06275">
        <w:t xml:space="preserve"> </w:t>
      </w:r>
      <w:r w:rsidR="004F519F">
        <w:t>1.95</w:t>
      </w:r>
      <w:r w:rsidR="00595F50">
        <w:t xml:space="preserve"> </w:t>
      </w:r>
      <w:r w:rsidR="41A63A70" w:rsidRPr="00F06275">
        <w:t xml:space="preserve">percent in </w:t>
      </w:r>
      <w:r w:rsidR="001C41F2">
        <w:t>reading</w:t>
      </w:r>
      <w:r w:rsidR="41A63A70" w:rsidRPr="00F06275">
        <w:t xml:space="preserve">, </w:t>
      </w:r>
      <w:r w:rsidR="004F519F">
        <w:t>1.99</w:t>
      </w:r>
      <w:r w:rsidR="00595F50">
        <w:t xml:space="preserve"> </w:t>
      </w:r>
      <w:r w:rsidR="41A63A70" w:rsidRPr="00F06275">
        <w:t xml:space="preserve">percent in mathematics and </w:t>
      </w:r>
      <w:r w:rsidR="00233914">
        <w:t>2.0</w:t>
      </w:r>
      <w:r w:rsidR="004F519F">
        <w:t>2</w:t>
      </w:r>
      <w:r w:rsidRPr="00F06275">
        <w:t xml:space="preserve"> </w:t>
      </w:r>
      <w:r w:rsidR="000A126D" w:rsidRPr="00F06275">
        <w:t>percent in science</w:t>
      </w:r>
      <w:r w:rsidRPr="00F06275">
        <w:t xml:space="preserve"> for school year 2017-2018</w:t>
      </w:r>
      <w:r w:rsidR="000A126D" w:rsidRPr="00F06275">
        <w:t>.</w:t>
      </w:r>
      <w:r w:rsidR="00666A51">
        <w:t xml:space="preserve"> </w:t>
      </w:r>
      <w:r w:rsidR="0088010E">
        <w:t xml:space="preserve">Due to the pandemic leading to school building closures in March 2020, Ohio was unable to complete statewide alternate assessment testing in spring 2020. Therefore, Ohio used school year 2019-2020 alternate assessment participation data. </w:t>
      </w:r>
      <w:r w:rsidR="009B2BC1">
        <w:t xml:space="preserve">Participation rates </w:t>
      </w:r>
      <w:r w:rsidR="00C35C81">
        <w:t>in school year 20</w:t>
      </w:r>
      <w:r w:rsidR="0080645F">
        <w:t>20</w:t>
      </w:r>
      <w:r w:rsidR="00C35C81">
        <w:t>-20</w:t>
      </w:r>
      <w:r w:rsidR="00C93AD8">
        <w:t>21</w:t>
      </w:r>
      <w:r w:rsidR="00C35C81">
        <w:t xml:space="preserve">, </w:t>
      </w:r>
      <w:r w:rsidR="009B2BC1">
        <w:t xml:space="preserve">were </w:t>
      </w:r>
      <w:r w:rsidR="00102424">
        <w:t>1.</w:t>
      </w:r>
      <w:r w:rsidR="7B88944B">
        <w:t>3</w:t>
      </w:r>
      <w:r w:rsidR="6B5182EC">
        <w:t>7</w:t>
      </w:r>
      <w:r w:rsidR="00102424">
        <w:t xml:space="preserve"> </w:t>
      </w:r>
      <w:r w:rsidR="009676F4">
        <w:t xml:space="preserve">percent in </w:t>
      </w:r>
      <w:r w:rsidR="001C41F2">
        <w:t>reading</w:t>
      </w:r>
      <w:r w:rsidR="009676F4">
        <w:t>,</w:t>
      </w:r>
      <w:r w:rsidR="00102424">
        <w:t xml:space="preserve"> 1.</w:t>
      </w:r>
      <w:r w:rsidR="7B88944B">
        <w:t>4</w:t>
      </w:r>
      <w:r w:rsidR="05FD84F9">
        <w:t>0</w:t>
      </w:r>
      <w:r w:rsidR="004F519F">
        <w:t xml:space="preserve"> </w:t>
      </w:r>
      <w:r w:rsidR="001C18E3">
        <w:t xml:space="preserve">percent in mathematics and </w:t>
      </w:r>
      <w:r w:rsidR="009E643E">
        <w:t>1.4</w:t>
      </w:r>
      <w:r w:rsidR="5F85B46E">
        <w:t>5</w:t>
      </w:r>
      <w:r w:rsidR="001C18E3">
        <w:t xml:space="preserve"> </w:t>
      </w:r>
      <w:r w:rsidR="004F519F">
        <w:t xml:space="preserve">percent </w:t>
      </w:r>
      <w:r w:rsidR="001C18E3">
        <w:t>in science</w:t>
      </w:r>
      <w:r w:rsidR="00932B93">
        <w:t xml:space="preserve"> (</w:t>
      </w:r>
      <w:r w:rsidR="00657328" w:rsidRPr="00657328">
        <w:rPr>
          <w:i/>
        </w:rPr>
        <w:t xml:space="preserve">See </w:t>
      </w:r>
      <w:r w:rsidR="00932B93" w:rsidRPr="00657328">
        <w:rPr>
          <w:i/>
        </w:rPr>
        <w:t>Table 1</w:t>
      </w:r>
      <w:r w:rsidR="00932B93">
        <w:t>)</w:t>
      </w:r>
      <w:r w:rsidR="001C18E3">
        <w:t>.</w:t>
      </w:r>
      <w:r w:rsidR="00CD4264">
        <w:t xml:space="preserve"> </w:t>
      </w:r>
      <w:r w:rsidR="00AB1185" w:rsidRPr="000F10C8">
        <w:rPr>
          <w:rStyle w:val="normaltextrun"/>
          <w:color w:val="000000"/>
          <w:shd w:val="clear" w:color="auto" w:fill="FFFFFF"/>
        </w:rPr>
        <w:t>Ohio anticipates exceeding the 1.0 percent threshold for the</w:t>
      </w:r>
      <w:r w:rsidR="0045611A">
        <w:rPr>
          <w:rStyle w:val="normaltextrun"/>
          <w:color w:val="000000"/>
          <w:shd w:val="clear" w:color="auto" w:fill="FFFFFF"/>
        </w:rPr>
        <w:t xml:space="preserve"> </w:t>
      </w:r>
      <w:r w:rsidR="00AB1185" w:rsidRPr="000F10C8">
        <w:rPr>
          <w:rStyle w:val="normaltextrun"/>
          <w:color w:val="000000"/>
          <w:shd w:val="clear" w:color="auto" w:fill="FFFFFF"/>
        </w:rPr>
        <w:t>202</w:t>
      </w:r>
      <w:r w:rsidR="00CD4264">
        <w:rPr>
          <w:rStyle w:val="normaltextrun"/>
          <w:color w:val="000000"/>
          <w:shd w:val="clear" w:color="auto" w:fill="FFFFFF"/>
        </w:rPr>
        <w:t>1</w:t>
      </w:r>
      <w:r w:rsidR="00AB1185" w:rsidRPr="000F10C8">
        <w:rPr>
          <w:rStyle w:val="normaltextrun"/>
          <w:color w:val="000000"/>
          <w:shd w:val="clear" w:color="auto" w:fill="FFFFFF"/>
        </w:rPr>
        <w:t>-202</w:t>
      </w:r>
      <w:r w:rsidR="00CD4264">
        <w:rPr>
          <w:rStyle w:val="normaltextrun"/>
          <w:color w:val="000000"/>
          <w:shd w:val="clear" w:color="auto" w:fill="FFFFFF"/>
        </w:rPr>
        <w:t>2</w:t>
      </w:r>
      <w:r w:rsidR="0045611A">
        <w:rPr>
          <w:rStyle w:val="normaltextrun"/>
          <w:color w:val="000000"/>
          <w:shd w:val="clear" w:color="auto" w:fill="FFFFFF"/>
        </w:rPr>
        <w:t xml:space="preserve"> </w:t>
      </w:r>
      <w:r w:rsidR="00AB1185" w:rsidRPr="000F10C8">
        <w:rPr>
          <w:rStyle w:val="normaltextrun"/>
          <w:color w:val="000000"/>
          <w:shd w:val="clear" w:color="auto" w:fill="FFFFFF"/>
        </w:rPr>
        <w:t>administration of the alternate assessment in reading, mathematics and science and is requesting an extension to the current waiver.</w:t>
      </w:r>
      <w:r w:rsidR="009E643E">
        <w:rPr>
          <w:rStyle w:val="normaltextrun"/>
          <w:color w:val="000000"/>
          <w:shd w:val="clear" w:color="auto" w:fill="FFFFFF"/>
        </w:rPr>
        <w:t xml:space="preserve"> </w:t>
      </w:r>
    </w:p>
    <w:p w14:paraId="4AA24754" w14:textId="6B5AB01D" w:rsidR="00F02413" w:rsidRPr="00F02413" w:rsidRDefault="00F02413" w:rsidP="00F02413">
      <w:pPr>
        <w:tabs>
          <w:tab w:val="left" w:pos="6229"/>
        </w:tabs>
      </w:pPr>
    </w:p>
    <w:p w14:paraId="252A35F8" w14:textId="1E5F27BA" w:rsidR="00932B93" w:rsidRDefault="35A5B608" w:rsidP="00CF5811">
      <w:pPr>
        <w:kinsoku w:val="0"/>
        <w:overflowPunct w:val="0"/>
        <w:autoSpaceDE w:val="0"/>
        <w:autoSpaceDN w:val="0"/>
        <w:adjustRightInd w:val="0"/>
        <w:spacing w:after="0"/>
      </w:pPr>
      <w:r>
        <w:t xml:space="preserve">Table 1 shows the percentage of students who took an alternate assessment by content area in grades 3-8 and high school in school years 2016-2017 through </w:t>
      </w:r>
      <w:r w:rsidR="0092788D">
        <w:t>2020-2021</w:t>
      </w:r>
      <w:r>
        <w:t xml:space="preserve">. Using </w:t>
      </w:r>
      <w:r w:rsidR="044277E0">
        <w:t xml:space="preserve">the </w:t>
      </w:r>
      <w:proofErr w:type="spellStart"/>
      <w:r w:rsidR="044277E0">
        <w:t>EdFacts</w:t>
      </w:r>
      <w:proofErr w:type="spellEnd"/>
      <w:r w:rsidR="044277E0">
        <w:t xml:space="preserve"> data set</w:t>
      </w:r>
      <w:r w:rsidR="002A17FC">
        <w:t>,</w:t>
      </w:r>
      <w:r>
        <w:t xml:space="preserve"> participation </w:t>
      </w:r>
      <w:r w:rsidR="000865D1">
        <w:t xml:space="preserve">for 2020-2021 </w:t>
      </w:r>
      <w:r>
        <w:t xml:space="preserve">in </w:t>
      </w:r>
      <w:r w:rsidR="005C60AD">
        <w:t>reading decreased by .5</w:t>
      </w:r>
      <w:r w:rsidR="00E05DAD">
        <w:t>6</w:t>
      </w:r>
      <w:r w:rsidR="004417B3">
        <w:t xml:space="preserve"> percent</w:t>
      </w:r>
      <w:r w:rsidR="005C60AD">
        <w:t>, mathematics decreased by .5</w:t>
      </w:r>
      <w:r w:rsidR="00E05DAD">
        <w:t>5</w:t>
      </w:r>
      <w:r w:rsidR="004417B3">
        <w:t xml:space="preserve"> percent</w:t>
      </w:r>
      <w:r w:rsidR="0072794D">
        <w:t xml:space="preserve"> </w:t>
      </w:r>
      <w:r w:rsidR="005C60AD">
        <w:t xml:space="preserve">and </w:t>
      </w:r>
      <w:r>
        <w:t xml:space="preserve">science alternate assessments </w:t>
      </w:r>
      <w:r w:rsidR="005C60AD">
        <w:t>decreased by .</w:t>
      </w:r>
      <w:r w:rsidR="00E05DAD">
        <w:t>51</w:t>
      </w:r>
      <w:r w:rsidR="004417B3">
        <w:t xml:space="preserve"> percent</w:t>
      </w:r>
      <w:r w:rsidR="005C60AD">
        <w:t>.</w:t>
      </w:r>
    </w:p>
    <w:p w14:paraId="4483A343" w14:textId="77777777" w:rsidR="00932B93" w:rsidRPr="00F878C5" w:rsidRDefault="00932B93" w:rsidP="00932B93">
      <w:pPr>
        <w:kinsoku w:val="0"/>
        <w:overflowPunct w:val="0"/>
        <w:autoSpaceDE w:val="0"/>
        <w:autoSpaceDN w:val="0"/>
        <w:adjustRightInd w:val="0"/>
        <w:spacing w:after="0" w:line="240" w:lineRule="auto"/>
        <w:rPr>
          <w:sz w:val="24"/>
          <w:szCs w:val="24"/>
        </w:rPr>
      </w:pPr>
    </w:p>
    <w:p w14:paraId="5F6529F5" w14:textId="4B9DEFDE" w:rsidR="00932B93" w:rsidRPr="00F878C5" w:rsidRDefault="00932B93" w:rsidP="00932B93">
      <w:pPr>
        <w:kinsoku w:val="0"/>
        <w:overflowPunct w:val="0"/>
        <w:autoSpaceDE w:val="0"/>
        <w:autoSpaceDN w:val="0"/>
        <w:adjustRightInd w:val="0"/>
        <w:spacing w:before="1" w:after="0" w:line="240" w:lineRule="auto"/>
        <w:ind w:left="101"/>
        <w:outlineLvl w:val="0"/>
        <w:rPr>
          <w:b/>
          <w:bCs/>
        </w:rPr>
      </w:pPr>
      <w:bookmarkStart w:id="3" w:name="_Toc54954290"/>
      <w:r w:rsidRPr="00F878C5">
        <w:rPr>
          <w:b/>
          <w:bCs/>
        </w:rPr>
        <w:t>T</w:t>
      </w:r>
      <w:r w:rsidR="00CF4024">
        <w:rPr>
          <w:b/>
          <w:bCs/>
        </w:rPr>
        <w:t>able</w:t>
      </w:r>
      <w:r w:rsidRPr="00F878C5">
        <w:rPr>
          <w:b/>
          <w:bCs/>
        </w:rPr>
        <w:t xml:space="preserve"> </w:t>
      </w:r>
      <w:r>
        <w:rPr>
          <w:b/>
          <w:bCs/>
        </w:rPr>
        <w:t>1</w:t>
      </w:r>
      <w:r w:rsidRPr="00F878C5">
        <w:rPr>
          <w:b/>
          <w:bCs/>
        </w:rPr>
        <w:t>: Participation in Alternate Assessment by Content Area Across Years (</w:t>
      </w:r>
      <w:proofErr w:type="spellStart"/>
      <w:r w:rsidRPr="00F878C5">
        <w:rPr>
          <w:b/>
          <w:bCs/>
        </w:rPr>
        <w:t>EdFacts</w:t>
      </w:r>
      <w:proofErr w:type="spellEnd"/>
      <w:r w:rsidRPr="00F878C5">
        <w:rPr>
          <w:b/>
          <w:bCs/>
        </w:rPr>
        <w:t>)</w:t>
      </w:r>
      <w:bookmarkEnd w:id="3"/>
    </w:p>
    <w:tbl>
      <w:tblPr>
        <w:tblStyle w:val="TableGrid"/>
        <w:tblW w:w="0" w:type="auto"/>
        <w:tblLook w:val="04A0" w:firstRow="1" w:lastRow="0" w:firstColumn="1" w:lastColumn="0" w:noHBand="0" w:noVBand="1"/>
        <w:tblCaption w:val="Table 1: Participation in Alternate Assessment by Content Area Across Years (EdFacts)"/>
        <w:tblDescription w:val="This table shows the percentages of students participating in the reading, mathematics, and science alternate assessment for the 2016-2017, 2017-2018, 2018-2019, and 2020-2021 school years and the change between those years."/>
      </w:tblPr>
      <w:tblGrid>
        <w:gridCol w:w="1771"/>
        <w:gridCol w:w="1771"/>
        <w:gridCol w:w="1771"/>
        <w:gridCol w:w="1771"/>
        <w:gridCol w:w="1772"/>
        <w:gridCol w:w="1772"/>
      </w:tblGrid>
      <w:tr w:rsidR="00A37EAE" w14:paraId="2001B9E9" w14:textId="77777777" w:rsidTr="00D53939">
        <w:trPr>
          <w:trHeight w:val="397"/>
        </w:trPr>
        <w:tc>
          <w:tcPr>
            <w:tcW w:w="1771" w:type="dxa"/>
            <w:shd w:val="clear" w:color="auto" w:fill="ED7D31" w:themeFill="accent2"/>
            <w:vAlign w:val="center"/>
          </w:tcPr>
          <w:p w14:paraId="594BF92C" w14:textId="4C00C814" w:rsidR="00A37EAE" w:rsidRDefault="0027340F" w:rsidP="00273760">
            <w:pPr>
              <w:pStyle w:val="Heading2"/>
              <w:outlineLvl w:val="1"/>
            </w:pPr>
            <w:bookmarkStart w:id="4" w:name="Participation_content_areas_across_years"/>
            <w:r>
              <w:t>Content Area</w:t>
            </w:r>
          </w:p>
        </w:tc>
        <w:tc>
          <w:tcPr>
            <w:tcW w:w="1771" w:type="dxa"/>
            <w:shd w:val="clear" w:color="auto" w:fill="ED7D31" w:themeFill="accent2"/>
            <w:vAlign w:val="center"/>
          </w:tcPr>
          <w:p w14:paraId="52A2F330" w14:textId="7AF202C1" w:rsidR="00A37EAE" w:rsidRDefault="0027340F" w:rsidP="00273760">
            <w:pPr>
              <w:pStyle w:val="Heading2"/>
              <w:outlineLvl w:val="1"/>
            </w:pPr>
            <w:r>
              <w:t>2016-2017</w:t>
            </w:r>
          </w:p>
        </w:tc>
        <w:tc>
          <w:tcPr>
            <w:tcW w:w="1771" w:type="dxa"/>
            <w:shd w:val="clear" w:color="auto" w:fill="ED7D31" w:themeFill="accent2"/>
            <w:vAlign w:val="center"/>
          </w:tcPr>
          <w:p w14:paraId="505848FC" w14:textId="615E57A5" w:rsidR="00A37EAE" w:rsidRDefault="0027340F" w:rsidP="00273760">
            <w:pPr>
              <w:pStyle w:val="Heading2"/>
              <w:outlineLvl w:val="1"/>
            </w:pPr>
            <w:r>
              <w:t>2017-2018</w:t>
            </w:r>
          </w:p>
        </w:tc>
        <w:tc>
          <w:tcPr>
            <w:tcW w:w="1771" w:type="dxa"/>
            <w:shd w:val="clear" w:color="auto" w:fill="ED7D31" w:themeFill="accent2"/>
            <w:vAlign w:val="center"/>
          </w:tcPr>
          <w:p w14:paraId="65F4CF80" w14:textId="7479E46B" w:rsidR="00A37EAE" w:rsidRDefault="0027340F" w:rsidP="00273760">
            <w:pPr>
              <w:pStyle w:val="Heading2"/>
              <w:outlineLvl w:val="1"/>
            </w:pPr>
            <w:r>
              <w:t>201</w:t>
            </w:r>
            <w:r w:rsidR="00730775">
              <w:t>8-2019</w:t>
            </w:r>
          </w:p>
        </w:tc>
        <w:tc>
          <w:tcPr>
            <w:tcW w:w="1772" w:type="dxa"/>
            <w:shd w:val="clear" w:color="auto" w:fill="ED7D31" w:themeFill="accent2"/>
            <w:vAlign w:val="center"/>
          </w:tcPr>
          <w:p w14:paraId="7BC9472D" w14:textId="03759947" w:rsidR="00A37EAE" w:rsidRDefault="00730775" w:rsidP="00273760">
            <w:pPr>
              <w:pStyle w:val="Heading2"/>
              <w:outlineLvl w:val="1"/>
            </w:pPr>
            <w:r>
              <w:t>2020-2021</w:t>
            </w:r>
          </w:p>
        </w:tc>
        <w:tc>
          <w:tcPr>
            <w:tcW w:w="1772" w:type="dxa"/>
            <w:shd w:val="clear" w:color="auto" w:fill="ED7D31" w:themeFill="accent2"/>
            <w:vAlign w:val="center"/>
          </w:tcPr>
          <w:p w14:paraId="73BC75D7" w14:textId="43E46936" w:rsidR="00A37EAE" w:rsidRDefault="00730775" w:rsidP="00273760">
            <w:pPr>
              <w:pStyle w:val="Heading2"/>
              <w:outlineLvl w:val="1"/>
            </w:pPr>
            <w:r>
              <w:t>Change</w:t>
            </w:r>
          </w:p>
        </w:tc>
      </w:tr>
      <w:tr w:rsidR="00730775" w14:paraId="35948043" w14:textId="77777777" w:rsidTr="00D53939">
        <w:trPr>
          <w:trHeight w:val="408"/>
        </w:trPr>
        <w:tc>
          <w:tcPr>
            <w:tcW w:w="1771" w:type="dxa"/>
            <w:shd w:val="clear" w:color="auto" w:fill="F7CAAC" w:themeFill="accent2" w:themeFillTint="66"/>
            <w:vAlign w:val="center"/>
          </w:tcPr>
          <w:p w14:paraId="0FE72184" w14:textId="7E71360F" w:rsidR="00730775" w:rsidRDefault="004C48A1" w:rsidP="00273760">
            <w:pPr>
              <w:pStyle w:val="Heading2"/>
              <w:outlineLvl w:val="1"/>
            </w:pPr>
            <w:r>
              <w:t>Reading</w:t>
            </w:r>
          </w:p>
        </w:tc>
        <w:tc>
          <w:tcPr>
            <w:tcW w:w="1771" w:type="dxa"/>
            <w:shd w:val="clear" w:color="auto" w:fill="F7CAAC" w:themeFill="accent2" w:themeFillTint="66"/>
            <w:vAlign w:val="center"/>
          </w:tcPr>
          <w:p w14:paraId="30FD7FFF" w14:textId="5CBC9CDB" w:rsidR="00730775" w:rsidRDefault="004C48A1" w:rsidP="00273760">
            <w:pPr>
              <w:pStyle w:val="Heading2"/>
              <w:outlineLvl w:val="1"/>
            </w:pPr>
            <w:r>
              <w:t>1.93%</w:t>
            </w:r>
          </w:p>
        </w:tc>
        <w:tc>
          <w:tcPr>
            <w:tcW w:w="1771" w:type="dxa"/>
            <w:shd w:val="clear" w:color="auto" w:fill="F7CAAC" w:themeFill="accent2" w:themeFillTint="66"/>
            <w:vAlign w:val="center"/>
          </w:tcPr>
          <w:p w14:paraId="08243893" w14:textId="0CC9BB72" w:rsidR="00730775" w:rsidRDefault="004C48A1" w:rsidP="00273760">
            <w:pPr>
              <w:pStyle w:val="Heading2"/>
              <w:outlineLvl w:val="1"/>
            </w:pPr>
            <w:r>
              <w:t>1.95%</w:t>
            </w:r>
          </w:p>
        </w:tc>
        <w:tc>
          <w:tcPr>
            <w:tcW w:w="1771" w:type="dxa"/>
            <w:shd w:val="clear" w:color="auto" w:fill="F7CAAC" w:themeFill="accent2" w:themeFillTint="66"/>
            <w:vAlign w:val="center"/>
          </w:tcPr>
          <w:p w14:paraId="709B1832" w14:textId="360FDB51" w:rsidR="00730775" w:rsidRDefault="004C48A1" w:rsidP="00273760">
            <w:pPr>
              <w:pStyle w:val="Heading2"/>
              <w:outlineLvl w:val="1"/>
            </w:pPr>
            <w:r>
              <w:t>1.93%</w:t>
            </w:r>
          </w:p>
        </w:tc>
        <w:tc>
          <w:tcPr>
            <w:tcW w:w="1772" w:type="dxa"/>
            <w:shd w:val="clear" w:color="auto" w:fill="F7CAAC" w:themeFill="accent2" w:themeFillTint="66"/>
            <w:vAlign w:val="center"/>
          </w:tcPr>
          <w:p w14:paraId="08FC2A3B" w14:textId="05B22652" w:rsidR="00730775" w:rsidRDefault="004C48A1" w:rsidP="00273760">
            <w:pPr>
              <w:pStyle w:val="Heading2"/>
              <w:outlineLvl w:val="1"/>
            </w:pPr>
            <w:r>
              <w:t>1.3</w:t>
            </w:r>
            <w:r w:rsidR="3EBE0185">
              <w:t>7</w:t>
            </w:r>
            <w:r>
              <w:t>%</w:t>
            </w:r>
          </w:p>
        </w:tc>
        <w:tc>
          <w:tcPr>
            <w:tcW w:w="1772" w:type="dxa"/>
            <w:shd w:val="clear" w:color="auto" w:fill="F7CAAC" w:themeFill="accent2" w:themeFillTint="66"/>
            <w:vAlign w:val="center"/>
          </w:tcPr>
          <w:p w14:paraId="4CECDAD8" w14:textId="22FB02A0" w:rsidR="00730775" w:rsidRDefault="004C48A1" w:rsidP="00273760">
            <w:pPr>
              <w:pStyle w:val="Heading2"/>
              <w:outlineLvl w:val="1"/>
            </w:pPr>
            <w:r>
              <w:t>-.5</w:t>
            </w:r>
            <w:r w:rsidR="00E81507">
              <w:t>6</w:t>
            </w:r>
            <w:r>
              <w:t>%</w:t>
            </w:r>
          </w:p>
        </w:tc>
      </w:tr>
      <w:tr w:rsidR="004C48A1" w14:paraId="64A73943" w14:textId="77777777" w:rsidTr="00D53939">
        <w:trPr>
          <w:trHeight w:val="397"/>
        </w:trPr>
        <w:tc>
          <w:tcPr>
            <w:tcW w:w="1771" w:type="dxa"/>
            <w:vAlign w:val="center"/>
          </w:tcPr>
          <w:p w14:paraId="7A6D1DF2" w14:textId="5C93A745" w:rsidR="004C48A1" w:rsidRDefault="004C48A1" w:rsidP="00273760">
            <w:pPr>
              <w:pStyle w:val="Heading2"/>
              <w:outlineLvl w:val="1"/>
            </w:pPr>
            <w:r>
              <w:t>Mathematics</w:t>
            </w:r>
          </w:p>
        </w:tc>
        <w:tc>
          <w:tcPr>
            <w:tcW w:w="1771" w:type="dxa"/>
            <w:vAlign w:val="center"/>
          </w:tcPr>
          <w:p w14:paraId="4722C9D2" w14:textId="24AB2363" w:rsidR="004C48A1" w:rsidRDefault="004C48A1" w:rsidP="00273760">
            <w:pPr>
              <w:pStyle w:val="Heading2"/>
              <w:outlineLvl w:val="1"/>
            </w:pPr>
            <w:r>
              <w:t>1.97%</w:t>
            </w:r>
          </w:p>
        </w:tc>
        <w:tc>
          <w:tcPr>
            <w:tcW w:w="1771" w:type="dxa"/>
            <w:vAlign w:val="center"/>
          </w:tcPr>
          <w:p w14:paraId="1CA54F57" w14:textId="348F4E02" w:rsidR="004C48A1" w:rsidRDefault="004C48A1" w:rsidP="00273760">
            <w:pPr>
              <w:pStyle w:val="Heading2"/>
              <w:outlineLvl w:val="1"/>
            </w:pPr>
            <w:r>
              <w:t>1.99%</w:t>
            </w:r>
          </w:p>
        </w:tc>
        <w:tc>
          <w:tcPr>
            <w:tcW w:w="1771" w:type="dxa"/>
            <w:vAlign w:val="center"/>
          </w:tcPr>
          <w:p w14:paraId="0CE16C1D" w14:textId="7CC1C503" w:rsidR="004C48A1" w:rsidRDefault="004C48A1" w:rsidP="00273760">
            <w:pPr>
              <w:pStyle w:val="Heading2"/>
              <w:outlineLvl w:val="1"/>
            </w:pPr>
            <w:r>
              <w:t>1.95%</w:t>
            </w:r>
          </w:p>
        </w:tc>
        <w:tc>
          <w:tcPr>
            <w:tcW w:w="1772" w:type="dxa"/>
            <w:vAlign w:val="center"/>
          </w:tcPr>
          <w:p w14:paraId="3EFD4E28" w14:textId="5C46905E" w:rsidR="004C48A1" w:rsidRDefault="004C48A1" w:rsidP="00273760">
            <w:pPr>
              <w:pStyle w:val="Heading2"/>
              <w:outlineLvl w:val="1"/>
            </w:pPr>
            <w:r>
              <w:t>1.4</w:t>
            </w:r>
            <w:r w:rsidR="5FE2AF35">
              <w:t>0</w:t>
            </w:r>
            <w:r>
              <w:t>%</w:t>
            </w:r>
          </w:p>
        </w:tc>
        <w:tc>
          <w:tcPr>
            <w:tcW w:w="1772" w:type="dxa"/>
            <w:vAlign w:val="center"/>
          </w:tcPr>
          <w:p w14:paraId="16AC2229" w14:textId="4A06B454" w:rsidR="004C48A1" w:rsidRDefault="004C48A1" w:rsidP="00273760">
            <w:pPr>
              <w:pStyle w:val="Heading2"/>
              <w:outlineLvl w:val="1"/>
            </w:pPr>
            <w:r>
              <w:t>-.5</w:t>
            </w:r>
            <w:r w:rsidR="00CA6CA8">
              <w:t>5</w:t>
            </w:r>
            <w:r>
              <w:t>%</w:t>
            </w:r>
          </w:p>
        </w:tc>
      </w:tr>
      <w:tr w:rsidR="004C48A1" w14:paraId="583DCAAD" w14:textId="77777777" w:rsidTr="00D53939">
        <w:trPr>
          <w:trHeight w:val="397"/>
        </w:trPr>
        <w:tc>
          <w:tcPr>
            <w:tcW w:w="1771" w:type="dxa"/>
            <w:shd w:val="clear" w:color="auto" w:fill="F7CAAC" w:themeFill="accent2" w:themeFillTint="66"/>
            <w:vAlign w:val="center"/>
          </w:tcPr>
          <w:p w14:paraId="50A04103" w14:textId="210B090E" w:rsidR="004C48A1" w:rsidRDefault="004C48A1" w:rsidP="00273760">
            <w:pPr>
              <w:pStyle w:val="Heading2"/>
              <w:outlineLvl w:val="1"/>
            </w:pPr>
            <w:r>
              <w:t>Science</w:t>
            </w:r>
          </w:p>
        </w:tc>
        <w:tc>
          <w:tcPr>
            <w:tcW w:w="1771" w:type="dxa"/>
            <w:shd w:val="clear" w:color="auto" w:fill="F7CAAC" w:themeFill="accent2" w:themeFillTint="66"/>
            <w:vAlign w:val="center"/>
          </w:tcPr>
          <w:p w14:paraId="2EEAFF49" w14:textId="7E341825" w:rsidR="004C48A1" w:rsidRDefault="004C48A1" w:rsidP="00273760">
            <w:pPr>
              <w:pStyle w:val="Heading2"/>
              <w:outlineLvl w:val="1"/>
            </w:pPr>
            <w:r>
              <w:t>1.89%</w:t>
            </w:r>
          </w:p>
        </w:tc>
        <w:tc>
          <w:tcPr>
            <w:tcW w:w="1771" w:type="dxa"/>
            <w:shd w:val="clear" w:color="auto" w:fill="F7CAAC" w:themeFill="accent2" w:themeFillTint="66"/>
            <w:vAlign w:val="center"/>
          </w:tcPr>
          <w:p w14:paraId="08505C47" w14:textId="682FEA6B" w:rsidR="004C48A1" w:rsidRDefault="004C48A1" w:rsidP="00273760">
            <w:pPr>
              <w:pStyle w:val="Heading2"/>
              <w:outlineLvl w:val="1"/>
            </w:pPr>
            <w:r>
              <w:t>2.02%</w:t>
            </w:r>
          </w:p>
        </w:tc>
        <w:tc>
          <w:tcPr>
            <w:tcW w:w="1771" w:type="dxa"/>
            <w:shd w:val="clear" w:color="auto" w:fill="F7CAAC" w:themeFill="accent2" w:themeFillTint="66"/>
            <w:vAlign w:val="center"/>
          </w:tcPr>
          <w:p w14:paraId="0DF0D195" w14:textId="7F31001B" w:rsidR="004C48A1" w:rsidRDefault="00454940" w:rsidP="00273760">
            <w:pPr>
              <w:pStyle w:val="Heading2"/>
              <w:outlineLvl w:val="1"/>
            </w:pPr>
            <w:r>
              <w:t>1.96%</w:t>
            </w:r>
          </w:p>
        </w:tc>
        <w:tc>
          <w:tcPr>
            <w:tcW w:w="1772" w:type="dxa"/>
            <w:shd w:val="clear" w:color="auto" w:fill="F7CAAC" w:themeFill="accent2" w:themeFillTint="66"/>
            <w:vAlign w:val="center"/>
          </w:tcPr>
          <w:p w14:paraId="6AA50709" w14:textId="4DCFD600" w:rsidR="004C48A1" w:rsidRDefault="00454940" w:rsidP="00273760">
            <w:pPr>
              <w:pStyle w:val="Heading2"/>
              <w:outlineLvl w:val="1"/>
            </w:pPr>
            <w:r>
              <w:t>1.4</w:t>
            </w:r>
            <w:r w:rsidR="394212AF">
              <w:t>5</w:t>
            </w:r>
            <w:r>
              <w:t>%</w:t>
            </w:r>
          </w:p>
        </w:tc>
        <w:tc>
          <w:tcPr>
            <w:tcW w:w="1772" w:type="dxa"/>
            <w:shd w:val="clear" w:color="auto" w:fill="F7CAAC" w:themeFill="accent2" w:themeFillTint="66"/>
            <w:vAlign w:val="center"/>
          </w:tcPr>
          <w:p w14:paraId="580BD02A" w14:textId="1A49C519" w:rsidR="004C48A1" w:rsidRDefault="00454940" w:rsidP="00273760">
            <w:pPr>
              <w:pStyle w:val="Heading2"/>
              <w:outlineLvl w:val="1"/>
            </w:pPr>
            <w:r>
              <w:t>-.</w:t>
            </w:r>
            <w:r w:rsidR="005B55F1">
              <w:t>51</w:t>
            </w:r>
            <w:r>
              <w:t>%</w:t>
            </w:r>
          </w:p>
        </w:tc>
      </w:tr>
      <w:bookmarkEnd w:id="4"/>
    </w:tbl>
    <w:p w14:paraId="3B04A9C9" w14:textId="443788A7" w:rsidR="00EA7835" w:rsidRPr="000263F8" w:rsidRDefault="00EA7835" w:rsidP="00273760">
      <w:pPr>
        <w:pStyle w:val="Heading2"/>
      </w:pPr>
    </w:p>
    <w:p w14:paraId="3E3DE126" w14:textId="6B45D4D2" w:rsidR="003B4090" w:rsidRPr="009623F0" w:rsidRDefault="00830363" w:rsidP="005822E4">
      <w:r>
        <w:t xml:space="preserve">As stipulated in </w:t>
      </w:r>
      <w:proofErr w:type="gramStart"/>
      <w:r w:rsidR="00AF15F2">
        <w:t>th</w:t>
      </w:r>
      <w:r w:rsidR="008800C6">
        <w:t>e</w:t>
      </w:r>
      <w:r w:rsidR="00AF15F2">
        <w:t xml:space="preserve"> </w:t>
      </w:r>
      <w:r w:rsidR="00A35AFA">
        <w:t>Every</w:t>
      </w:r>
      <w:proofErr w:type="gramEnd"/>
      <w:r w:rsidR="00A35AFA">
        <w:t xml:space="preserve"> Student Succeeds Act</w:t>
      </w:r>
      <w:r>
        <w:t>,</w:t>
      </w:r>
      <w:r w:rsidR="002F10D7">
        <w:t xml:space="preserve"> </w:t>
      </w:r>
      <w:r w:rsidR="0004092E">
        <w:t>Ohio’s improvement plan</w:t>
      </w:r>
      <w:r w:rsidR="00593272">
        <w:t xml:space="preserve"> includes annually requiring</w:t>
      </w:r>
      <w:r w:rsidR="00593272" w:rsidRPr="009623F0">
        <w:t xml:space="preserve"> </w:t>
      </w:r>
      <w:r w:rsidR="003B4090" w:rsidRPr="009623F0">
        <w:t>justifications from districts and community schools exceeding the 1</w:t>
      </w:r>
      <w:r w:rsidR="005A596B">
        <w:t>.0</w:t>
      </w:r>
      <w:r w:rsidR="00191E6E" w:rsidRPr="009623F0">
        <w:t xml:space="preserve"> percent</w:t>
      </w:r>
      <w:r w:rsidR="003B4090" w:rsidRPr="009623F0">
        <w:t xml:space="preserve"> threshold</w:t>
      </w:r>
      <w:r w:rsidR="00134884" w:rsidRPr="009623F0">
        <w:t xml:space="preserve">, </w:t>
      </w:r>
      <w:r w:rsidR="00E01BA0">
        <w:t xml:space="preserve">supporting and monitoring </w:t>
      </w:r>
      <w:r w:rsidR="00134884" w:rsidRPr="009623F0">
        <w:t xml:space="preserve">districts and community schools </w:t>
      </w:r>
      <w:r w:rsidR="008800C6">
        <w:t>to</w:t>
      </w:r>
      <w:r w:rsidR="00767513">
        <w:t xml:space="preserve"> </w:t>
      </w:r>
      <w:r w:rsidR="00134884" w:rsidRPr="009623F0">
        <w:t>appropriate</w:t>
      </w:r>
      <w:r w:rsidR="00644AF9" w:rsidRPr="009623F0">
        <w:t>ly</w:t>
      </w:r>
      <w:r w:rsidR="00134884" w:rsidRPr="009623F0">
        <w:t xml:space="preserve"> us</w:t>
      </w:r>
      <w:r w:rsidR="008800C6">
        <w:t xml:space="preserve">e </w:t>
      </w:r>
      <w:r w:rsidR="00134884" w:rsidRPr="009623F0">
        <w:t>the state</w:t>
      </w:r>
      <w:r w:rsidR="006016F8" w:rsidRPr="009623F0">
        <w:t>’s eligibility</w:t>
      </w:r>
      <w:r w:rsidR="00134884" w:rsidRPr="009623F0">
        <w:t xml:space="preserve"> guidelines for the alternate assessment, </w:t>
      </w:r>
      <w:r w:rsidR="003B4090" w:rsidRPr="009623F0">
        <w:t xml:space="preserve">and </w:t>
      </w:r>
      <w:r w:rsidR="004C4636">
        <w:t>using</w:t>
      </w:r>
      <w:r w:rsidR="00593272" w:rsidRPr="009623F0">
        <w:t xml:space="preserve"> </w:t>
      </w:r>
      <w:r w:rsidR="003B4090" w:rsidRPr="009623F0">
        <w:t xml:space="preserve">a statewide tiered system of support to </w:t>
      </w:r>
      <w:r w:rsidR="00037EF9">
        <w:t>provide appropriate oversi</w:t>
      </w:r>
      <w:r w:rsidR="00D168D0">
        <w:t>ght</w:t>
      </w:r>
      <w:r w:rsidR="00037EF9">
        <w:t xml:space="preserve"> and </w:t>
      </w:r>
      <w:r w:rsidR="007823D3">
        <w:t>support to districts that exceed the 1</w:t>
      </w:r>
      <w:r w:rsidR="005A596B">
        <w:t>.0</w:t>
      </w:r>
      <w:r w:rsidR="007823D3">
        <w:t xml:space="preserve"> percent threshold.</w:t>
      </w:r>
    </w:p>
    <w:p w14:paraId="5B3330DF" w14:textId="14D811E8" w:rsidR="00204E4B" w:rsidRDefault="001A6EDC" w:rsidP="005822E4">
      <w:r>
        <w:t>Ohio’</w:t>
      </w:r>
      <w:r w:rsidR="005A3FB7">
        <w:t>s participation rate continues to be above the 1</w:t>
      </w:r>
      <w:r w:rsidR="00260A48">
        <w:t>.0</w:t>
      </w:r>
      <w:r w:rsidR="005A3FB7">
        <w:t xml:space="preserve"> percent threshold</w:t>
      </w:r>
      <w:r w:rsidR="00925DC9">
        <w:t>. T</w:t>
      </w:r>
      <w:r w:rsidR="005A3FB7">
        <w:t xml:space="preserve">he </w:t>
      </w:r>
      <w:r w:rsidR="004C4636">
        <w:t xml:space="preserve">Ohio Department of Education </w:t>
      </w:r>
      <w:r w:rsidR="00ED7225">
        <w:t xml:space="preserve">is </w:t>
      </w:r>
      <w:r w:rsidR="00A665AD">
        <w:t xml:space="preserve">collaborating </w:t>
      </w:r>
      <w:r w:rsidR="00CD00B2">
        <w:t xml:space="preserve">with local and national partners to </w:t>
      </w:r>
      <w:r w:rsidR="002128EE">
        <w:t xml:space="preserve">develop and implement </w:t>
      </w:r>
      <w:r w:rsidR="00ED7225">
        <w:t xml:space="preserve">innovative approaches to ensure </w:t>
      </w:r>
      <w:r w:rsidR="002128EE">
        <w:t>only students with the most significant cognitive disabilities are participating in O</w:t>
      </w:r>
      <w:r w:rsidR="002128EE" w:rsidRPr="009623F0">
        <w:t xml:space="preserve">hio’s Alternate Assessment for </w:t>
      </w:r>
      <w:r w:rsidR="00E52536">
        <w:t>S</w:t>
      </w:r>
      <w:r w:rsidR="00E52536" w:rsidRPr="009623F0">
        <w:t xml:space="preserve">tudents </w:t>
      </w:r>
      <w:r w:rsidR="002128EE" w:rsidRPr="009623F0">
        <w:t>with Significant Cognitive Disabilities</w:t>
      </w:r>
      <w:r w:rsidR="00880DA1">
        <w:t xml:space="preserve">. </w:t>
      </w:r>
      <w:r w:rsidR="008A667B" w:rsidRPr="009623F0">
        <w:t>An Alternate Assessment Participation Workgroup</w:t>
      </w:r>
      <w:r w:rsidR="00AC5891">
        <w:t xml:space="preserve"> (Workgroup)</w:t>
      </w:r>
      <w:r w:rsidR="00EF6BB9">
        <w:t>,</w:t>
      </w:r>
      <w:r w:rsidR="008A667B" w:rsidRPr="009623F0">
        <w:t xml:space="preserve"> created at the Department</w:t>
      </w:r>
      <w:r w:rsidR="003B4090" w:rsidRPr="009623F0">
        <w:t xml:space="preserve"> in early 2017</w:t>
      </w:r>
      <w:r w:rsidR="00EF6BB9">
        <w:t xml:space="preserve">, </w:t>
      </w:r>
      <w:r w:rsidR="004358C0">
        <w:t>continues</w:t>
      </w:r>
      <w:r w:rsidR="00D4792A" w:rsidRPr="009623F0">
        <w:t xml:space="preserve"> with regularly scheduled meetings and </w:t>
      </w:r>
      <w:r w:rsidR="008A667B" w:rsidRPr="009623F0">
        <w:t xml:space="preserve">includes representatives from the Offices for Exceptional Children, </w:t>
      </w:r>
      <w:r w:rsidR="00905171">
        <w:t>Learning and Instructional Strategies</w:t>
      </w:r>
      <w:r w:rsidR="00DD6A08">
        <w:t xml:space="preserve">, </w:t>
      </w:r>
      <w:r w:rsidR="003B4090" w:rsidRPr="009623F0">
        <w:t xml:space="preserve">Assessment, </w:t>
      </w:r>
      <w:r w:rsidR="008A667B" w:rsidRPr="009623F0">
        <w:t>Innovation and Improvement, Accountability</w:t>
      </w:r>
      <w:r w:rsidR="006C7055">
        <w:t>, Data</w:t>
      </w:r>
      <w:r w:rsidR="008A667B" w:rsidRPr="009623F0">
        <w:t xml:space="preserve"> </w:t>
      </w:r>
      <w:r w:rsidR="00E97220">
        <w:t xml:space="preserve">Quality and Governance </w:t>
      </w:r>
      <w:r w:rsidR="008A667B" w:rsidRPr="009623F0">
        <w:t xml:space="preserve">and Community Schools. </w:t>
      </w:r>
      <w:r w:rsidR="003B4090" w:rsidRPr="009623F0">
        <w:t>This c</w:t>
      </w:r>
      <w:r w:rsidR="00C81421">
        <w:t>ross-agency team</w:t>
      </w:r>
      <w:r w:rsidR="003B4090" w:rsidRPr="009623F0">
        <w:t xml:space="preserve"> </w:t>
      </w:r>
      <w:r w:rsidR="00FC48CD">
        <w:t xml:space="preserve">participates in </w:t>
      </w:r>
      <w:r w:rsidR="004A4630">
        <w:t xml:space="preserve">the </w:t>
      </w:r>
      <w:r w:rsidR="00FC48CD">
        <w:t>N</w:t>
      </w:r>
      <w:r w:rsidR="006C7055">
        <w:t xml:space="preserve">ational </w:t>
      </w:r>
      <w:r w:rsidR="00FC48CD">
        <w:t>C</w:t>
      </w:r>
      <w:r w:rsidR="0043550A">
        <w:t xml:space="preserve">enter for </w:t>
      </w:r>
      <w:r w:rsidR="00FC48CD">
        <w:t>E</w:t>
      </w:r>
      <w:r w:rsidR="0043550A">
        <w:t xml:space="preserve">ducational </w:t>
      </w:r>
      <w:r w:rsidR="00FC48CD">
        <w:t>O</w:t>
      </w:r>
      <w:r w:rsidR="0043550A">
        <w:t>utcomes</w:t>
      </w:r>
      <w:r w:rsidR="00FC48CD">
        <w:t xml:space="preserve"> Community of Practice and Professional Learning Groups, </w:t>
      </w:r>
      <w:r w:rsidR="0C738BEE">
        <w:t>and</w:t>
      </w:r>
      <w:r w:rsidR="2C4DA943">
        <w:t xml:space="preserve"> </w:t>
      </w:r>
      <w:r w:rsidR="00FC48CD">
        <w:t xml:space="preserve">includes </w:t>
      </w:r>
      <w:r w:rsidR="00AF0336" w:rsidRPr="00AF0336">
        <w:t>The Council of Chief State School Officers (CCSSO) Assessment, Standards and Education of Students with Disabilities (ASES) State Collaborative on Assessment, Standards and Students (SCASS)</w:t>
      </w:r>
      <w:r w:rsidR="00FC48CD">
        <w:t>members</w:t>
      </w:r>
      <w:r w:rsidR="00501DE4">
        <w:t xml:space="preserve">, representatives from </w:t>
      </w:r>
      <w:r w:rsidR="00075E00">
        <w:t>the Ohio Center for Autism and Low Incidence (</w:t>
      </w:r>
      <w:r w:rsidR="00665EAE">
        <w:t>OCALI</w:t>
      </w:r>
      <w:r w:rsidR="00075E00">
        <w:t>)</w:t>
      </w:r>
      <w:r w:rsidR="00665EAE">
        <w:t xml:space="preserve"> )</w:t>
      </w:r>
      <w:r w:rsidR="00501DE4">
        <w:t xml:space="preserve"> and </w:t>
      </w:r>
      <w:r w:rsidR="005F6C62">
        <w:t xml:space="preserve">members from </w:t>
      </w:r>
      <w:r w:rsidR="00675599">
        <w:t xml:space="preserve">Ohio’s </w:t>
      </w:r>
      <w:hyperlink r:id="rId14">
        <w:r w:rsidR="0D0902C0" w:rsidRPr="7EF35151">
          <w:rPr>
            <w:rStyle w:val="Hyperlink"/>
          </w:rPr>
          <w:t>s</w:t>
        </w:r>
        <w:r w:rsidR="7ACF98E6" w:rsidRPr="7EF35151">
          <w:rPr>
            <w:rStyle w:val="Hyperlink"/>
          </w:rPr>
          <w:t xml:space="preserve">tate </w:t>
        </w:r>
        <w:r w:rsidR="0D0902C0" w:rsidRPr="7EF35151">
          <w:rPr>
            <w:rStyle w:val="Hyperlink"/>
          </w:rPr>
          <w:t>s</w:t>
        </w:r>
        <w:r w:rsidR="7ACF98E6" w:rsidRPr="7EF35151">
          <w:rPr>
            <w:rStyle w:val="Hyperlink"/>
          </w:rPr>
          <w:t xml:space="preserve">upport </w:t>
        </w:r>
        <w:r w:rsidR="0D0902C0" w:rsidRPr="7EF35151">
          <w:rPr>
            <w:rStyle w:val="Hyperlink"/>
          </w:rPr>
          <w:t>t</w:t>
        </w:r>
        <w:r w:rsidR="7ACF98E6" w:rsidRPr="7EF35151">
          <w:rPr>
            <w:rStyle w:val="Hyperlink"/>
          </w:rPr>
          <w:t>eam</w:t>
        </w:r>
        <w:r w:rsidR="20913F23" w:rsidRPr="7EF35151">
          <w:rPr>
            <w:rStyle w:val="Hyperlink"/>
          </w:rPr>
          <w:t>s</w:t>
        </w:r>
      </w:hyperlink>
      <w:r w:rsidR="20913F23">
        <w:t>.</w:t>
      </w:r>
      <w:r w:rsidR="00AC5891">
        <w:t xml:space="preserve"> The Workgroup</w:t>
      </w:r>
      <w:r w:rsidR="008A667B" w:rsidRPr="009623F0">
        <w:t xml:space="preserve"> </w:t>
      </w:r>
      <w:r w:rsidR="00AC5891">
        <w:t xml:space="preserve">has </w:t>
      </w:r>
      <w:r w:rsidR="00277106">
        <w:t xml:space="preserve">consulted with </w:t>
      </w:r>
      <w:r w:rsidR="004A4630">
        <w:lastRenderedPageBreak/>
        <w:t xml:space="preserve">numerous stakeholder groups such as </w:t>
      </w:r>
      <w:r w:rsidR="007C3E41">
        <w:t xml:space="preserve">the </w:t>
      </w:r>
      <w:r w:rsidR="005163F3">
        <w:t xml:space="preserve">Ohio </w:t>
      </w:r>
      <w:r w:rsidR="00277106">
        <w:t>S</w:t>
      </w:r>
      <w:r w:rsidR="007C3E41">
        <w:t xml:space="preserve">tate </w:t>
      </w:r>
      <w:r w:rsidR="00277106">
        <w:t>A</w:t>
      </w:r>
      <w:r w:rsidR="007C3E41">
        <w:t xml:space="preserve">dvisory </w:t>
      </w:r>
      <w:r w:rsidR="00277106">
        <w:t>P</w:t>
      </w:r>
      <w:r w:rsidR="007C3E41">
        <w:t xml:space="preserve">anel for Exceptional </w:t>
      </w:r>
      <w:r w:rsidR="00277106">
        <w:t>C</w:t>
      </w:r>
      <w:r w:rsidR="007C3E41">
        <w:t>hildren</w:t>
      </w:r>
      <w:r w:rsidR="004A4630">
        <w:t>, the Ohio Association of Pupil Service Administrators</w:t>
      </w:r>
      <w:r w:rsidR="00277106">
        <w:t xml:space="preserve"> and the special education </w:t>
      </w:r>
      <w:r w:rsidR="00715411">
        <w:t xml:space="preserve">statewide </w:t>
      </w:r>
      <w:r w:rsidR="00277106">
        <w:t>testing advisory committee to gather input and feedback</w:t>
      </w:r>
      <w:r w:rsidR="00D375B5">
        <w:t xml:space="preserve"> throughout the school year. </w:t>
      </w:r>
    </w:p>
    <w:p w14:paraId="20A4DD43" w14:textId="149DFBCF" w:rsidR="008A667B" w:rsidRPr="009623F0" w:rsidRDefault="00204E4B" w:rsidP="005822E4">
      <w:r w:rsidRPr="009623F0">
        <w:t>Ohio</w:t>
      </w:r>
      <w:r>
        <w:t xml:space="preserve"> continues to build on </w:t>
      </w:r>
      <w:r w:rsidR="00623625">
        <w:t xml:space="preserve">the Department’s </w:t>
      </w:r>
      <w:r w:rsidR="00836B83" w:rsidRPr="009623F0">
        <w:t xml:space="preserve">system of regional </w:t>
      </w:r>
      <w:r w:rsidR="00891377" w:rsidRPr="00B2737D">
        <w:t>s</w:t>
      </w:r>
      <w:r w:rsidR="00836B83" w:rsidRPr="00B2737D">
        <w:t xml:space="preserve">tate </w:t>
      </w:r>
      <w:r w:rsidR="00891377" w:rsidRPr="00B2737D">
        <w:t>s</w:t>
      </w:r>
      <w:r w:rsidR="00836B83" w:rsidRPr="00B2737D">
        <w:t xml:space="preserve">upport </w:t>
      </w:r>
      <w:r w:rsidR="00891377" w:rsidRPr="00B2737D">
        <w:t>t</w:t>
      </w:r>
      <w:r w:rsidR="00836B83" w:rsidRPr="00B2737D">
        <w:t>eams</w:t>
      </w:r>
      <w:r w:rsidR="00836B83" w:rsidRPr="009623F0">
        <w:t xml:space="preserve"> </w:t>
      </w:r>
      <w:r w:rsidR="00623625">
        <w:t xml:space="preserve">to </w:t>
      </w:r>
      <w:r w:rsidR="00836B83" w:rsidRPr="009623F0">
        <w:t xml:space="preserve">provide </w:t>
      </w:r>
      <w:r w:rsidR="00F81F15">
        <w:t>technical assistance</w:t>
      </w:r>
      <w:r w:rsidR="00623625">
        <w:t xml:space="preserve"> and monitoring </w:t>
      </w:r>
      <w:r w:rsidR="00836B83" w:rsidRPr="009623F0">
        <w:t xml:space="preserve">to local districts and community schools. </w:t>
      </w:r>
      <w:r w:rsidR="003B4090" w:rsidRPr="009623F0">
        <w:t xml:space="preserve">The </w:t>
      </w:r>
      <w:r w:rsidR="0032434D">
        <w:t>Department</w:t>
      </w:r>
      <w:r w:rsidR="0032434D" w:rsidRPr="009623F0">
        <w:t xml:space="preserve"> </w:t>
      </w:r>
      <w:r w:rsidR="00C259F7">
        <w:t>collaborates</w:t>
      </w:r>
      <w:r w:rsidR="003B4090" w:rsidRPr="009623F0">
        <w:t xml:space="preserve"> with </w:t>
      </w:r>
      <w:r w:rsidR="00891377">
        <w:t>s</w:t>
      </w:r>
      <w:r w:rsidR="009F3761">
        <w:t xml:space="preserve">tate </w:t>
      </w:r>
      <w:r w:rsidR="00891377">
        <w:t>s</w:t>
      </w:r>
      <w:r w:rsidR="009F3761">
        <w:t xml:space="preserve">upport </w:t>
      </w:r>
      <w:r w:rsidR="00891377">
        <w:t>t</w:t>
      </w:r>
      <w:r w:rsidR="009F3761">
        <w:t>eam</w:t>
      </w:r>
      <w:r w:rsidR="00836B83" w:rsidRPr="009623F0">
        <w:t xml:space="preserve"> </w:t>
      </w:r>
      <w:r w:rsidR="006016F8" w:rsidRPr="009623F0">
        <w:t>d</w:t>
      </w:r>
      <w:r w:rsidR="003B4090" w:rsidRPr="009623F0">
        <w:t>irectors</w:t>
      </w:r>
      <w:r w:rsidR="00D4792A" w:rsidRPr="009623F0">
        <w:t xml:space="preserve"> and </w:t>
      </w:r>
      <w:r w:rsidR="0032434D">
        <w:t xml:space="preserve">key </w:t>
      </w:r>
      <w:r w:rsidR="00D4792A" w:rsidRPr="009623F0">
        <w:t>staff</w:t>
      </w:r>
      <w:r w:rsidR="003B4090" w:rsidRPr="009623F0">
        <w:t xml:space="preserve"> </w:t>
      </w:r>
      <w:r w:rsidR="0032434D">
        <w:t xml:space="preserve">members </w:t>
      </w:r>
      <w:r w:rsidR="003B4090" w:rsidRPr="009623F0">
        <w:t xml:space="preserve">to implement a tiered system of support to assist districts and community schools in reviewing and improving their </w:t>
      </w:r>
      <w:r w:rsidR="00836B83" w:rsidRPr="009623F0">
        <w:t xml:space="preserve">alternate assessment </w:t>
      </w:r>
      <w:r w:rsidR="003B4090" w:rsidRPr="009623F0">
        <w:t>policies and practices</w:t>
      </w:r>
      <w:r w:rsidR="00205672">
        <w:t xml:space="preserve">. The goal is to </w:t>
      </w:r>
      <w:r w:rsidR="009011C4" w:rsidRPr="009623F0">
        <w:t xml:space="preserve">ensure that only eligible students with </w:t>
      </w:r>
      <w:r w:rsidR="00E51972">
        <w:t xml:space="preserve">the most </w:t>
      </w:r>
      <w:r w:rsidR="009011C4" w:rsidRPr="009623F0">
        <w:t>significant cognitive disabilities participate in the state’s alternate assessment</w:t>
      </w:r>
      <w:r w:rsidR="007078A3">
        <w:t>s</w:t>
      </w:r>
      <w:r w:rsidR="009011C4" w:rsidRPr="009623F0">
        <w:t xml:space="preserve">. </w:t>
      </w:r>
      <w:r w:rsidR="007B1A80">
        <w:t>Ohio’s t</w:t>
      </w:r>
      <w:r w:rsidR="003B4090" w:rsidRPr="009623F0">
        <w:t xml:space="preserve">iered </w:t>
      </w:r>
      <w:r w:rsidR="007B1A80">
        <w:t>i</w:t>
      </w:r>
      <w:r w:rsidR="003B4090" w:rsidRPr="009623F0">
        <w:t xml:space="preserve">ntervention </w:t>
      </w:r>
      <w:r w:rsidR="007B1A80">
        <w:t>m</w:t>
      </w:r>
      <w:r w:rsidR="003B4090" w:rsidRPr="009623F0">
        <w:t xml:space="preserve">onitoring </w:t>
      </w:r>
      <w:r w:rsidR="007B1A80">
        <w:t>p</w:t>
      </w:r>
      <w:r w:rsidR="003B4090" w:rsidRPr="009623F0">
        <w:t xml:space="preserve">lan is described in more detail beginning on </w:t>
      </w:r>
      <w:r w:rsidR="003B4090" w:rsidRPr="00D44CB2">
        <w:t xml:space="preserve">page </w:t>
      </w:r>
      <w:r w:rsidR="00F01930" w:rsidRPr="00BD65FE">
        <w:t>1</w:t>
      </w:r>
      <w:r w:rsidR="00D44CB2" w:rsidRPr="00BD65FE">
        <w:t>1</w:t>
      </w:r>
      <w:r w:rsidR="00F01930">
        <w:t xml:space="preserve"> </w:t>
      </w:r>
      <w:r w:rsidR="003B4090" w:rsidRPr="009623F0">
        <w:t xml:space="preserve">of this document. </w:t>
      </w:r>
    </w:p>
    <w:p w14:paraId="7C2E8A89" w14:textId="732748FB" w:rsidR="00FB0ED4" w:rsidRPr="00CF5811" w:rsidRDefault="00FB0ED4" w:rsidP="00CF5811">
      <w:pPr>
        <w:pStyle w:val="CommentText"/>
        <w:spacing w:line="276" w:lineRule="auto"/>
        <w:rPr>
          <w:sz w:val="22"/>
          <w:szCs w:val="22"/>
        </w:rPr>
      </w:pPr>
      <w:r w:rsidRPr="00CF5811">
        <w:rPr>
          <w:sz w:val="22"/>
          <w:szCs w:val="22"/>
        </w:rPr>
        <w:t xml:space="preserve">As stipulated in </w:t>
      </w:r>
      <w:proofErr w:type="gramStart"/>
      <w:r w:rsidRPr="00CF5811">
        <w:rPr>
          <w:sz w:val="22"/>
          <w:szCs w:val="22"/>
        </w:rPr>
        <w:t>the Every</w:t>
      </w:r>
      <w:proofErr w:type="gramEnd"/>
      <w:r w:rsidRPr="00CF5811">
        <w:rPr>
          <w:sz w:val="22"/>
          <w:szCs w:val="22"/>
        </w:rPr>
        <w:t xml:space="preserve"> Student Succeeds Act, districts and community schools </w:t>
      </w:r>
      <w:r w:rsidR="00C65BA9">
        <w:rPr>
          <w:sz w:val="22"/>
          <w:szCs w:val="22"/>
        </w:rPr>
        <w:t xml:space="preserve">that expect to </w:t>
      </w:r>
      <w:r w:rsidRPr="00CF5811">
        <w:rPr>
          <w:sz w:val="22"/>
          <w:szCs w:val="22"/>
        </w:rPr>
        <w:t>exceed 1</w:t>
      </w:r>
      <w:r w:rsidR="005623A5">
        <w:rPr>
          <w:sz w:val="22"/>
          <w:szCs w:val="22"/>
        </w:rPr>
        <w:t>.0</w:t>
      </w:r>
      <w:r w:rsidRPr="00CF5811">
        <w:rPr>
          <w:sz w:val="22"/>
          <w:szCs w:val="22"/>
        </w:rPr>
        <w:t xml:space="preserve"> percent participation are required to complete and submit an electronic justification and assurances. </w:t>
      </w:r>
    </w:p>
    <w:p w14:paraId="20859D63" w14:textId="6F2D2BAE" w:rsidR="00FB0ED4" w:rsidRPr="00CF5811" w:rsidRDefault="52FC8CCF" w:rsidP="2930A659">
      <w:pPr>
        <w:pStyle w:val="CommentText"/>
        <w:spacing w:line="276" w:lineRule="auto"/>
        <w:rPr>
          <w:rFonts w:eastAsia="Arial"/>
          <w:sz w:val="22"/>
          <w:szCs w:val="22"/>
        </w:rPr>
      </w:pPr>
      <w:r w:rsidRPr="2930A659">
        <w:rPr>
          <w:sz w:val="22"/>
          <w:szCs w:val="22"/>
        </w:rPr>
        <w:t xml:space="preserve">Due to COVID-19, the United States </w:t>
      </w:r>
      <w:r w:rsidR="00B22D9A">
        <w:rPr>
          <w:sz w:val="22"/>
          <w:szCs w:val="22"/>
        </w:rPr>
        <w:t>D</w:t>
      </w:r>
      <w:r w:rsidRPr="2930A659">
        <w:rPr>
          <w:sz w:val="22"/>
          <w:szCs w:val="22"/>
        </w:rPr>
        <w:t xml:space="preserve">epartment of Education waived the requirement for states to collect justifications from districts in school year 2020-2021. However, states </w:t>
      </w:r>
      <w:r w:rsidR="7A871DB4" w:rsidRPr="2930A659">
        <w:rPr>
          <w:sz w:val="22"/>
          <w:szCs w:val="22"/>
        </w:rPr>
        <w:t>were</w:t>
      </w:r>
      <w:r w:rsidRPr="2930A659">
        <w:rPr>
          <w:sz w:val="22"/>
          <w:szCs w:val="22"/>
        </w:rPr>
        <w:t xml:space="preserve"> still required to collect assurances from districts that staff are appropriately using Department guidelines and resources. The Department collect</w:t>
      </w:r>
      <w:r w:rsidR="7A871DB4" w:rsidRPr="2930A659">
        <w:rPr>
          <w:sz w:val="22"/>
          <w:szCs w:val="22"/>
        </w:rPr>
        <w:t>ed</w:t>
      </w:r>
      <w:r w:rsidRPr="2930A659">
        <w:rPr>
          <w:sz w:val="22"/>
          <w:szCs w:val="22"/>
        </w:rPr>
        <w:t xml:space="preserve"> these assurances from</w:t>
      </w:r>
      <w:r w:rsidR="6C8A06C8" w:rsidRPr="2930A659">
        <w:rPr>
          <w:sz w:val="22"/>
          <w:szCs w:val="22"/>
        </w:rPr>
        <w:t xml:space="preserve"> </w:t>
      </w:r>
      <w:r w:rsidR="5D3BFE2A" w:rsidRPr="2930A659">
        <w:rPr>
          <w:sz w:val="22"/>
          <w:szCs w:val="22"/>
        </w:rPr>
        <w:t>701</w:t>
      </w:r>
      <w:r w:rsidR="7A871DB4" w:rsidRPr="2930A659">
        <w:rPr>
          <w:sz w:val="22"/>
          <w:szCs w:val="22"/>
        </w:rPr>
        <w:t xml:space="preserve"> </w:t>
      </w:r>
      <w:r w:rsidRPr="2930A659">
        <w:rPr>
          <w:sz w:val="22"/>
          <w:szCs w:val="22"/>
        </w:rPr>
        <w:t>districts.</w:t>
      </w:r>
      <w:r w:rsidR="11B2EADA" w:rsidRPr="2930A659">
        <w:rPr>
          <w:sz w:val="22"/>
          <w:szCs w:val="22"/>
        </w:rPr>
        <w:t xml:space="preserve"> This is a 75% submission rate</w:t>
      </w:r>
      <w:r w:rsidR="00A62B58">
        <w:rPr>
          <w:sz w:val="22"/>
          <w:szCs w:val="22"/>
        </w:rPr>
        <w:t>,</w:t>
      </w:r>
      <w:r w:rsidR="11B2EADA" w:rsidRPr="2930A659">
        <w:rPr>
          <w:sz w:val="22"/>
          <w:szCs w:val="22"/>
        </w:rPr>
        <w:t xml:space="preserve"> and the Office for Exceptional Children followed</w:t>
      </w:r>
      <w:r w:rsidR="00A62B58">
        <w:rPr>
          <w:sz w:val="22"/>
          <w:szCs w:val="22"/>
        </w:rPr>
        <w:t xml:space="preserve"> </w:t>
      </w:r>
      <w:r w:rsidR="11B2EADA" w:rsidRPr="2930A659">
        <w:rPr>
          <w:sz w:val="22"/>
          <w:szCs w:val="22"/>
        </w:rPr>
        <w:t>up with the 275</w:t>
      </w:r>
      <w:r w:rsidR="401922F2" w:rsidRPr="2930A659">
        <w:rPr>
          <w:sz w:val="22"/>
          <w:szCs w:val="22"/>
        </w:rPr>
        <w:t xml:space="preserve"> districts that did not respond by the due date of Jan. 29, 2020</w:t>
      </w:r>
      <w:r w:rsidR="5D3BFE2A" w:rsidRPr="2930A659">
        <w:rPr>
          <w:rFonts w:asciiTheme="minorHAnsi" w:hAnsiTheme="minorHAnsi" w:cstheme="minorBidi"/>
        </w:rPr>
        <w:t>.</w:t>
      </w:r>
      <w:r w:rsidR="4F158A8A" w:rsidRPr="2930A659">
        <w:rPr>
          <w:rFonts w:asciiTheme="minorHAnsi" w:hAnsiTheme="minorHAnsi" w:cstheme="minorBidi"/>
        </w:rPr>
        <w:t xml:space="preserve"> </w:t>
      </w:r>
      <w:r w:rsidR="4F158A8A" w:rsidRPr="2930A659">
        <w:rPr>
          <w:rFonts w:eastAsia="Arial"/>
          <w:sz w:val="22"/>
          <w:szCs w:val="22"/>
        </w:rPr>
        <w:t xml:space="preserve">The majority of 275 </w:t>
      </w:r>
      <w:r w:rsidR="00342C77" w:rsidRPr="2930A659">
        <w:rPr>
          <w:rFonts w:eastAsia="Arial"/>
          <w:sz w:val="22"/>
          <w:szCs w:val="22"/>
        </w:rPr>
        <w:t>non</w:t>
      </w:r>
      <w:r w:rsidR="00763B18">
        <w:rPr>
          <w:rFonts w:eastAsia="Arial"/>
          <w:sz w:val="22"/>
          <w:szCs w:val="22"/>
        </w:rPr>
        <w:t>-</w:t>
      </w:r>
      <w:r w:rsidR="00342C77" w:rsidRPr="2930A659">
        <w:rPr>
          <w:rFonts w:eastAsia="Arial"/>
          <w:sz w:val="22"/>
          <w:szCs w:val="22"/>
        </w:rPr>
        <w:t>respon</w:t>
      </w:r>
      <w:r w:rsidR="00763B18">
        <w:rPr>
          <w:rFonts w:eastAsia="Arial"/>
          <w:sz w:val="22"/>
          <w:szCs w:val="22"/>
        </w:rPr>
        <w:t>ders</w:t>
      </w:r>
      <w:r w:rsidR="4F158A8A" w:rsidRPr="2930A659">
        <w:rPr>
          <w:rFonts w:eastAsia="Arial"/>
          <w:sz w:val="22"/>
          <w:szCs w:val="22"/>
        </w:rPr>
        <w:t xml:space="preserve"> submitted a justification while the</w:t>
      </w:r>
      <w:r w:rsidR="7756BC6B" w:rsidRPr="2930A659">
        <w:rPr>
          <w:rFonts w:eastAsia="Arial"/>
          <w:sz w:val="22"/>
          <w:szCs w:val="22"/>
        </w:rPr>
        <w:t xml:space="preserve"> remainder of </w:t>
      </w:r>
      <w:r w:rsidR="76128711" w:rsidRPr="2930A659">
        <w:rPr>
          <w:rFonts w:eastAsia="Arial"/>
          <w:sz w:val="22"/>
          <w:szCs w:val="22"/>
        </w:rPr>
        <w:t>districts</w:t>
      </w:r>
      <w:r w:rsidR="7756BC6B" w:rsidRPr="2930A659">
        <w:rPr>
          <w:rFonts w:eastAsia="Arial"/>
          <w:sz w:val="22"/>
          <w:szCs w:val="22"/>
        </w:rPr>
        <w:t xml:space="preserve"> were referred to the comprehensive monitoring system</w:t>
      </w:r>
      <w:r w:rsidR="1B91EEA1" w:rsidRPr="2930A659">
        <w:rPr>
          <w:rFonts w:eastAsia="Arial"/>
          <w:sz w:val="22"/>
          <w:szCs w:val="22"/>
        </w:rPr>
        <w:t xml:space="preserve"> team</w:t>
      </w:r>
      <w:r w:rsidR="7756BC6B" w:rsidRPr="2930A659">
        <w:rPr>
          <w:rFonts w:eastAsia="Arial"/>
          <w:sz w:val="22"/>
          <w:szCs w:val="22"/>
        </w:rPr>
        <w:t xml:space="preserve">. </w:t>
      </w:r>
    </w:p>
    <w:p w14:paraId="4CDC3896" w14:textId="77777777" w:rsidR="00D12D0B" w:rsidRDefault="00D12D0B" w:rsidP="00273760">
      <w:pPr>
        <w:pStyle w:val="Heading2"/>
      </w:pPr>
      <w:bookmarkStart w:id="5" w:name="_Toc54954291"/>
    </w:p>
    <w:p w14:paraId="37533BF9" w14:textId="6C8A77AC" w:rsidR="00AA6E71" w:rsidRPr="00CF5811" w:rsidRDefault="00AA6E71" w:rsidP="00273760">
      <w:pPr>
        <w:pStyle w:val="Heading2"/>
      </w:pPr>
      <w:r w:rsidRPr="00CF5811">
        <w:t>Alignment to Ohio’s Strategic Plan for Education</w:t>
      </w:r>
      <w:bookmarkEnd w:id="5"/>
    </w:p>
    <w:p w14:paraId="432667EA" w14:textId="5413FB11" w:rsidR="001C31E0" w:rsidRDefault="00A7758B" w:rsidP="005822E4">
      <w:pPr>
        <w:rPr>
          <w:i/>
        </w:rPr>
      </w:pPr>
      <w:hyperlink r:id="rId15" w:history="1">
        <w:r w:rsidR="008B1B69" w:rsidRPr="005822E4">
          <w:rPr>
            <w:rStyle w:val="Hyperlink"/>
            <w:i/>
          </w:rPr>
          <w:t>Each Child, Our Future</w:t>
        </w:r>
      </w:hyperlink>
      <w:r w:rsidR="008B1B69" w:rsidRPr="001437A8">
        <w:rPr>
          <w:i/>
        </w:rPr>
        <w:t xml:space="preserve"> </w:t>
      </w:r>
      <w:r w:rsidR="008B1B69" w:rsidRPr="001437A8">
        <w:t xml:space="preserve">is Ohio’s strategic plan for </w:t>
      </w:r>
      <w:r w:rsidR="00E3275E" w:rsidRPr="001437A8">
        <w:t>education</w:t>
      </w:r>
      <w:r w:rsidR="00312B4E">
        <w:t>. The purpose of the plan is</w:t>
      </w:r>
      <w:r w:rsidR="008B1B69" w:rsidRPr="001437A8">
        <w:t xml:space="preserve"> </w:t>
      </w:r>
      <w:r w:rsidR="008637DE">
        <w:t>t</w:t>
      </w:r>
      <w:r w:rsidR="008B1B69" w:rsidRPr="001437A8">
        <w:t>o lift aspirations, create hope and excitement, guide development of state-level education policies and promote high-quality educational practices across the state</w:t>
      </w:r>
      <w:r w:rsidR="0032201B">
        <w:t>.</w:t>
      </w:r>
      <w:r w:rsidR="008B1B69" w:rsidRPr="001437A8">
        <w:rPr>
          <w:i/>
        </w:rPr>
        <w:t xml:space="preserve"> </w:t>
      </w:r>
      <w:r w:rsidR="00080E6B">
        <w:t xml:space="preserve">Introduced in </w:t>
      </w:r>
      <w:r w:rsidR="00C26C5B">
        <w:t>2018</w:t>
      </w:r>
      <w:r w:rsidR="00080E6B">
        <w:t xml:space="preserve">, the plan focuses on three core principles: Equity, Partnerships and Quality Schools – with the goal of creating a system in which </w:t>
      </w:r>
      <w:r w:rsidR="00080E6B" w:rsidRPr="001437A8">
        <w:t>each student is challenged, prepared and empowered for his or her future</w:t>
      </w:r>
      <w:r w:rsidR="00080E6B">
        <w:t xml:space="preserve">. </w:t>
      </w:r>
      <w:r w:rsidR="002E2494">
        <w:t>T</w:t>
      </w:r>
      <w:r w:rsidR="00514417">
        <w:t xml:space="preserve">he </w:t>
      </w:r>
      <w:r w:rsidR="002E2494">
        <w:t>Department’s work on alternate assessment participation</w:t>
      </w:r>
      <w:r w:rsidR="00514417">
        <w:t xml:space="preserve"> aligns with the</w:t>
      </w:r>
      <w:r w:rsidR="00514417" w:rsidRPr="00514417">
        <w:t xml:space="preserve"> </w:t>
      </w:r>
      <w:r w:rsidR="00514417">
        <w:t>purpose and goals of Ohio’s strategic plan</w:t>
      </w:r>
      <w:r w:rsidR="00521868">
        <w:t xml:space="preserve">. </w:t>
      </w:r>
      <w:r w:rsidR="00EA5472">
        <w:t xml:space="preserve">The Department is working to reduce </w:t>
      </w:r>
      <w:r w:rsidR="001331E5">
        <w:t>participation in alternate assessment</w:t>
      </w:r>
      <w:r w:rsidR="0066033F">
        <w:t>s</w:t>
      </w:r>
      <w:r w:rsidR="001331E5">
        <w:t xml:space="preserve"> </w:t>
      </w:r>
      <w:r w:rsidR="00293065">
        <w:t>not solely</w:t>
      </w:r>
      <w:r w:rsidR="00097017">
        <w:t xml:space="preserve"> to meet federal requirements but to ensure </w:t>
      </w:r>
      <w:r w:rsidR="00E722E3">
        <w:t>each</w:t>
      </w:r>
      <w:r w:rsidR="00097017">
        <w:t xml:space="preserve"> student ha</w:t>
      </w:r>
      <w:r w:rsidR="00E722E3">
        <w:t>s</w:t>
      </w:r>
      <w:r w:rsidR="00097017">
        <w:t xml:space="preserve"> access to rigorous curriculum and assessment</w:t>
      </w:r>
      <w:r w:rsidR="0066033F">
        <w:t>s</w:t>
      </w:r>
      <w:r w:rsidR="00097017">
        <w:t xml:space="preserve"> </w:t>
      </w:r>
      <w:r w:rsidR="00E722E3">
        <w:t xml:space="preserve">that prepares them for future success. </w:t>
      </w:r>
      <w:r w:rsidR="004F5DDC" w:rsidRPr="001437A8">
        <w:rPr>
          <w:i/>
        </w:rPr>
        <w:t xml:space="preserve">Ohio’s goal is to ensure the right students are taking the right tests. </w:t>
      </w:r>
    </w:p>
    <w:p w14:paraId="187072E1" w14:textId="77777777" w:rsidR="00DC36DA" w:rsidRDefault="00B32A22" w:rsidP="00603254">
      <w:pPr>
        <w:shd w:val="clear" w:color="auto" w:fill="FFFFFF"/>
        <w:spacing w:after="0"/>
        <w:rPr>
          <w:rFonts w:eastAsia="Times New Roman"/>
          <w:color w:val="000000"/>
        </w:rPr>
      </w:pPr>
      <w:r w:rsidRPr="00603254">
        <w:rPr>
          <w:rFonts w:eastAsia="Times New Roman"/>
          <w:color w:val="000000"/>
        </w:rPr>
        <w:t>Building on</w:t>
      </w:r>
      <w:r w:rsidR="009E4AC6">
        <w:rPr>
          <w:rFonts w:eastAsia="Times New Roman"/>
          <w:color w:val="000000"/>
        </w:rPr>
        <w:t xml:space="preserve"> </w:t>
      </w:r>
      <w:hyperlink r:id="rId16" w:history="1">
        <w:r w:rsidRPr="003975B9">
          <w:rPr>
            <w:rFonts w:eastAsia="Times New Roman"/>
            <w:i/>
            <w:iCs/>
            <w:color w:val="0070C0"/>
            <w:u w:val="single"/>
          </w:rPr>
          <w:t>Each Child, Our Future</w:t>
        </w:r>
      </w:hyperlink>
      <w:r w:rsidR="009E4AC6">
        <w:rPr>
          <w:rFonts w:eastAsia="Times New Roman"/>
          <w:color w:val="000000"/>
        </w:rPr>
        <w:t xml:space="preserve"> </w:t>
      </w:r>
      <w:r w:rsidRPr="00603254">
        <w:rPr>
          <w:rFonts w:eastAsia="Times New Roman"/>
          <w:color w:val="000000"/>
        </w:rPr>
        <w:t>and modeling its partnership-based approach, the Ohio Department of Education convened</w:t>
      </w:r>
      <w:r w:rsidR="009E4AC6">
        <w:rPr>
          <w:rFonts w:eastAsia="Times New Roman"/>
          <w:color w:val="000000"/>
        </w:rPr>
        <w:t xml:space="preserve"> </w:t>
      </w:r>
      <w:hyperlink r:id="rId17" w:history="1">
        <w:r w:rsidRPr="003975B9">
          <w:rPr>
            <w:rFonts w:eastAsia="Times New Roman"/>
            <w:color w:val="0070C0"/>
            <w:u w:val="single"/>
          </w:rPr>
          <w:t>stakeholders</w:t>
        </w:r>
      </w:hyperlink>
      <w:r w:rsidR="009E4AC6">
        <w:rPr>
          <w:rFonts w:eastAsia="Times New Roman"/>
          <w:color w:val="000000"/>
        </w:rPr>
        <w:t xml:space="preserve"> </w:t>
      </w:r>
      <w:r w:rsidRPr="00603254">
        <w:rPr>
          <w:rFonts w:eastAsia="Times New Roman"/>
          <w:color w:val="000000"/>
        </w:rPr>
        <w:t>to craft a plan aimed at improving learning experiences and outcomes for students with disabilities. Beginning in January 2019 and wrapping up in December 2019, stakeholders and staff from the Department worked together to identify a set of recommendations for increasing literacy skills, improving disproportionality, promoting postsecondary success, fostering inclusive leadership and advancing high-quality instructional practices among educators who serve students with disabilities.</w:t>
      </w:r>
    </w:p>
    <w:p w14:paraId="375080B2" w14:textId="77777777" w:rsidR="00597657" w:rsidRDefault="00597657" w:rsidP="00603254">
      <w:pPr>
        <w:shd w:val="clear" w:color="auto" w:fill="FFFFFF"/>
        <w:spacing w:after="0"/>
        <w:rPr>
          <w:rFonts w:eastAsia="Times New Roman"/>
          <w:color w:val="000000"/>
        </w:rPr>
      </w:pPr>
    </w:p>
    <w:p w14:paraId="5B477C60" w14:textId="77777777" w:rsidR="00597657" w:rsidRDefault="00B32A22" w:rsidP="00603254">
      <w:pPr>
        <w:shd w:val="clear" w:color="auto" w:fill="FFFFFF"/>
        <w:spacing w:after="0"/>
        <w:rPr>
          <w:rFonts w:eastAsia="Times New Roman"/>
          <w:color w:val="000000"/>
        </w:rPr>
      </w:pPr>
      <w:r w:rsidRPr="00603254">
        <w:rPr>
          <w:rFonts w:eastAsia="Times New Roman"/>
          <w:color w:val="000000"/>
        </w:rPr>
        <w:t>These recommendations ultimately resulted in</w:t>
      </w:r>
      <w:r w:rsidR="009E4AC6">
        <w:rPr>
          <w:rFonts w:eastAsia="Times New Roman"/>
          <w:color w:val="000000"/>
        </w:rPr>
        <w:t xml:space="preserve"> </w:t>
      </w:r>
      <w:hyperlink r:id="rId18" w:history="1">
        <w:r w:rsidRPr="00603254">
          <w:rPr>
            <w:rStyle w:val="Hyperlink"/>
            <w:rFonts w:eastAsia="Times New Roman"/>
            <w:i/>
            <w:iCs/>
          </w:rPr>
          <w:t>Each Child Means Each Child: Ohio’s Plan to Improve Learning Experiences and Outcomes for Students with Disabilities</w:t>
        </w:r>
      </w:hyperlink>
      <w:r w:rsidR="00597657">
        <w:rPr>
          <w:rFonts w:eastAsia="Times New Roman"/>
          <w:color w:val="000000"/>
        </w:rPr>
        <w:t>.</w:t>
      </w:r>
    </w:p>
    <w:p w14:paraId="76DD6C6A" w14:textId="77777777" w:rsidR="00597657" w:rsidRDefault="00597657" w:rsidP="00603254">
      <w:pPr>
        <w:shd w:val="clear" w:color="auto" w:fill="FFFFFF"/>
        <w:spacing w:after="0"/>
        <w:rPr>
          <w:rFonts w:eastAsia="Times New Roman"/>
          <w:color w:val="000000"/>
        </w:rPr>
      </w:pPr>
    </w:p>
    <w:p w14:paraId="06421BFD" w14:textId="0AA773E4" w:rsidR="00D00E26" w:rsidRPr="00603254" w:rsidRDefault="00B32A22" w:rsidP="00597657">
      <w:pPr>
        <w:shd w:val="clear" w:color="auto" w:fill="FFFFFF"/>
        <w:spacing w:after="120"/>
        <w:rPr>
          <w:rFonts w:eastAsia="Times New Roman"/>
          <w:color w:val="000000"/>
        </w:rPr>
      </w:pPr>
      <w:r w:rsidRPr="00603254">
        <w:rPr>
          <w:rFonts w:eastAsia="Times New Roman"/>
          <w:i/>
          <w:iCs/>
          <w:color w:val="000000"/>
        </w:rPr>
        <w:t>Each Child Means Each Child</w:t>
      </w:r>
      <w:r w:rsidR="00B53F39">
        <w:rPr>
          <w:rFonts w:eastAsia="Times New Roman"/>
          <w:i/>
          <w:iCs/>
          <w:color w:val="000000"/>
        </w:rPr>
        <w:t xml:space="preserve"> </w:t>
      </w:r>
      <w:r w:rsidRPr="00603254">
        <w:rPr>
          <w:rFonts w:eastAsia="Times New Roman"/>
          <w:color w:val="000000"/>
        </w:rPr>
        <w:t>offers recommendations, tactics and action steps to ensure Ohio’s 270,000 students currently enrolled in public schools who have been identified with disabilities benefit from the vision and core principles heralded in Ohio's strategic plan for education.</w:t>
      </w:r>
      <w:r w:rsidRPr="00603254">
        <w:rPr>
          <w:rFonts w:eastAsia="Times New Roman"/>
          <w:color w:val="000000"/>
        </w:rPr>
        <w:br/>
      </w:r>
      <w:r w:rsidRPr="00603254">
        <w:rPr>
          <w:rFonts w:eastAsia="Times New Roman"/>
          <w:i/>
          <w:iCs/>
          <w:color w:val="000000"/>
        </w:rPr>
        <w:lastRenderedPageBreak/>
        <w:t>Each Child Means Each Child</w:t>
      </w:r>
      <w:r w:rsidR="00597657">
        <w:rPr>
          <w:rFonts w:eastAsia="Times New Roman"/>
          <w:i/>
          <w:iCs/>
          <w:color w:val="000000"/>
        </w:rPr>
        <w:t xml:space="preserve"> </w:t>
      </w:r>
      <w:r w:rsidRPr="00603254">
        <w:rPr>
          <w:rFonts w:eastAsia="Times New Roman"/>
          <w:color w:val="000000"/>
        </w:rPr>
        <w:t>uses data to illustrate what education looks like for Ohio’s students with disabilities. Additionally, it organizes recommendations, tactics and actions to improve these educational experiences into three major focus areas:</w:t>
      </w:r>
    </w:p>
    <w:p w14:paraId="21B9CD61" w14:textId="5515B6D6" w:rsidR="00B32A22" w:rsidRPr="00603254" w:rsidRDefault="00B32A22" w:rsidP="00603254">
      <w:pPr>
        <w:numPr>
          <w:ilvl w:val="0"/>
          <w:numId w:val="45"/>
        </w:numPr>
        <w:shd w:val="clear" w:color="auto" w:fill="FFFFFF"/>
        <w:spacing w:after="0"/>
        <w:rPr>
          <w:rFonts w:eastAsia="Times New Roman"/>
          <w:color w:val="000000"/>
        </w:rPr>
      </w:pPr>
      <w:r w:rsidRPr="00603254">
        <w:rPr>
          <w:rFonts w:eastAsia="Times New Roman"/>
          <w:color w:val="000000"/>
        </w:rPr>
        <w:t>Getting to the Problem Early</w:t>
      </w:r>
      <w:r w:rsidR="00E03310">
        <w:rPr>
          <w:rFonts w:eastAsia="Times New Roman"/>
          <w:color w:val="000000"/>
        </w:rPr>
        <w:t xml:space="preserve"> via</w:t>
      </w:r>
      <w:r w:rsidRPr="00603254">
        <w:rPr>
          <w:rFonts w:eastAsia="Times New Roman"/>
          <w:color w:val="000000"/>
        </w:rPr>
        <w:t xml:space="preserve"> Multi-Tiered System of Support</w:t>
      </w:r>
    </w:p>
    <w:p w14:paraId="7008D290" w14:textId="466CB788" w:rsidR="00B32A22" w:rsidRPr="00603254" w:rsidRDefault="00B32A22" w:rsidP="00603254">
      <w:pPr>
        <w:numPr>
          <w:ilvl w:val="0"/>
          <w:numId w:val="45"/>
        </w:numPr>
        <w:shd w:val="clear" w:color="auto" w:fill="FFFFFF"/>
        <w:spacing w:after="0"/>
        <w:rPr>
          <w:rFonts w:eastAsia="Times New Roman"/>
          <w:color w:val="000000"/>
        </w:rPr>
      </w:pPr>
      <w:r w:rsidRPr="00603254">
        <w:rPr>
          <w:rFonts w:eastAsia="Times New Roman"/>
          <w:color w:val="000000"/>
        </w:rPr>
        <w:t>Building Educators’ and Systemwide Capacity</w:t>
      </w:r>
      <w:r w:rsidR="00E03310">
        <w:rPr>
          <w:rFonts w:eastAsia="Times New Roman"/>
          <w:color w:val="000000"/>
        </w:rPr>
        <w:t xml:space="preserve"> via</w:t>
      </w:r>
      <w:r w:rsidRPr="00603254">
        <w:rPr>
          <w:rFonts w:eastAsia="Times New Roman"/>
          <w:color w:val="000000"/>
        </w:rPr>
        <w:t xml:space="preserve"> Professional Learning</w:t>
      </w:r>
    </w:p>
    <w:p w14:paraId="1D82C45E" w14:textId="7C4781B8" w:rsidR="00B32A22" w:rsidRDefault="00B32A22" w:rsidP="00603254">
      <w:pPr>
        <w:numPr>
          <w:ilvl w:val="0"/>
          <w:numId w:val="45"/>
        </w:numPr>
        <w:shd w:val="clear" w:color="auto" w:fill="FFFFFF"/>
        <w:spacing w:after="0"/>
        <w:rPr>
          <w:rFonts w:eastAsia="Times New Roman"/>
          <w:color w:val="000000"/>
        </w:rPr>
      </w:pPr>
      <w:r w:rsidRPr="00603254">
        <w:rPr>
          <w:rFonts w:eastAsia="Times New Roman"/>
          <w:color w:val="000000"/>
        </w:rPr>
        <w:t xml:space="preserve">Educating for Living a Good Life </w:t>
      </w:r>
      <w:r w:rsidR="00E03310">
        <w:rPr>
          <w:rFonts w:eastAsia="Times New Roman"/>
          <w:color w:val="000000"/>
        </w:rPr>
        <w:t>via</w:t>
      </w:r>
      <w:r w:rsidRPr="00603254">
        <w:rPr>
          <w:rFonts w:eastAsia="Times New Roman"/>
          <w:color w:val="000000"/>
        </w:rPr>
        <w:t xml:space="preserve"> Postsecondary Readiness and Planning</w:t>
      </w:r>
    </w:p>
    <w:p w14:paraId="29AAB2BF" w14:textId="77777777" w:rsidR="00D44CB2" w:rsidRPr="00603254" w:rsidRDefault="00D44CB2" w:rsidP="00D44CB2">
      <w:pPr>
        <w:shd w:val="clear" w:color="auto" w:fill="FFFFFF"/>
        <w:spacing w:after="0"/>
        <w:ind w:left="720"/>
        <w:rPr>
          <w:rFonts w:eastAsia="Times New Roman"/>
          <w:color w:val="000000"/>
        </w:rPr>
      </w:pPr>
    </w:p>
    <w:p w14:paraId="3CB40CE9" w14:textId="4773797B" w:rsidR="00B32A22" w:rsidRPr="00603254" w:rsidRDefault="00B32A22" w:rsidP="00603254">
      <w:pPr>
        <w:shd w:val="clear" w:color="auto" w:fill="FFFFFF"/>
        <w:spacing w:after="150"/>
        <w:rPr>
          <w:rFonts w:eastAsia="Times New Roman"/>
          <w:color w:val="000000"/>
        </w:rPr>
      </w:pPr>
      <w:r w:rsidRPr="00603254">
        <w:rPr>
          <w:rFonts w:eastAsia="Times New Roman"/>
          <w:color w:val="000000"/>
        </w:rPr>
        <w:t>The plan also contains stories that demonstrate how student outcomes might improve when the recommendations of the plan are implemented.</w:t>
      </w:r>
    </w:p>
    <w:p w14:paraId="09130593" w14:textId="484E4916" w:rsidR="003D118F" w:rsidRPr="000B0C95" w:rsidRDefault="00992EC4" w:rsidP="00EA7835">
      <w:pPr>
        <w:pStyle w:val="Heading1"/>
        <w:rPr>
          <w:b w:val="0"/>
          <w:color w:val="auto"/>
        </w:rPr>
      </w:pPr>
      <w:bookmarkStart w:id="6" w:name="_Toc54954292"/>
      <w:r w:rsidRPr="000B0C95">
        <w:rPr>
          <w:b w:val="0"/>
          <w:color w:val="auto"/>
        </w:rPr>
        <w:t>Ohio’s strategic plan</w:t>
      </w:r>
      <w:r w:rsidR="002B1F2C">
        <w:rPr>
          <w:b w:val="0"/>
          <w:color w:val="auto"/>
        </w:rPr>
        <w:t>s</w:t>
      </w:r>
      <w:r w:rsidRPr="000B0C95">
        <w:rPr>
          <w:b w:val="0"/>
          <w:color w:val="auto"/>
        </w:rPr>
        <w:t xml:space="preserve"> recognize that equity of </w:t>
      </w:r>
      <w:r w:rsidR="009A3994" w:rsidRPr="000B0C95">
        <w:rPr>
          <w:b w:val="0"/>
          <w:color w:val="auto"/>
        </w:rPr>
        <w:t xml:space="preserve">education achievement is a persisting </w:t>
      </w:r>
      <w:r w:rsidR="00D2336D" w:rsidRPr="000B0C95">
        <w:rPr>
          <w:b w:val="0"/>
          <w:color w:val="auto"/>
        </w:rPr>
        <w:t xml:space="preserve">challenge. </w:t>
      </w:r>
      <w:r w:rsidR="0087393A" w:rsidRPr="000B0C95">
        <w:rPr>
          <w:b w:val="0"/>
          <w:color w:val="auto"/>
        </w:rPr>
        <w:t xml:space="preserve">Access to academically challenging </w:t>
      </w:r>
      <w:r w:rsidR="00751CFF" w:rsidRPr="000B0C95">
        <w:rPr>
          <w:b w:val="0"/>
          <w:color w:val="auto"/>
        </w:rPr>
        <w:t xml:space="preserve">standards is fundamental to achieving equity in education and overreliance on </w:t>
      </w:r>
      <w:r w:rsidR="006B24F2" w:rsidRPr="000B0C95">
        <w:rPr>
          <w:b w:val="0"/>
          <w:color w:val="auto"/>
        </w:rPr>
        <w:t xml:space="preserve">Ohio’s Alternate Assessment for </w:t>
      </w:r>
      <w:r w:rsidR="008374CA" w:rsidRPr="000B0C95">
        <w:rPr>
          <w:b w:val="0"/>
          <w:color w:val="auto"/>
        </w:rPr>
        <w:t xml:space="preserve">Students </w:t>
      </w:r>
      <w:r w:rsidR="006B24F2" w:rsidRPr="000B0C95">
        <w:rPr>
          <w:b w:val="0"/>
          <w:color w:val="auto"/>
        </w:rPr>
        <w:t xml:space="preserve">with </w:t>
      </w:r>
      <w:r w:rsidR="002B1F2C">
        <w:rPr>
          <w:b w:val="0"/>
          <w:color w:val="auto"/>
        </w:rPr>
        <w:t xml:space="preserve">the Most </w:t>
      </w:r>
      <w:r w:rsidR="006B24F2" w:rsidRPr="000B0C95">
        <w:rPr>
          <w:b w:val="0"/>
          <w:color w:val="auto"/>
        </w:rPr>
        <w:t>Significant Cognitive Disabilities</w:t>
      </w:r>
      <w:r w:rsidR="004550D1">
        <w:rPr>
          <w:b w:val="0"/>
          <w:color w:val="auto"/>
        </w:rPr>
        <w:t>. The alternate assessment</w:t>
      </w:r>
      <w:r w:rsidR="00F10E59">
        <w:rPr>
          <w:b w:val="0"/>
          <w:color w:val="auto"/>
        </w:rPr>
        <w:t xml:space="preserve"> can</w:t>
      </w:r>
      <w:r w:rsidR="006B24F2" w:rsidRPr="000B0C95">
        <w:rPr>
          <w:b w:val="0"/>
          <w:color w:val="auto"/>
        </w:rPr>
        <w:t xml:space="preserve"> limit </w:t>
      </w:r>
      <w:r w:rsidR="003C7EC4" w:rsidRPr="000B0C95">
        <w:rPr>
          <w:b w:val="0"/>
          <w:color w:val="auto"/>
        </w:rPr>
        <w:t xml:space="preserve">students’ access to rigorous curriculum and assessment </w:t>
      </w:r>
      <w:r w:rsidR="00CA65ED" w:rsidRPr="000B0C95">
        <w:rPr>
          <w:b w:val="0"/>
          <w:color w:val="auto"/>
        </w:rPr>
        <w:t>that meet the personalized learning needs</w:t>
      </w:r>
      <w:r w:rsidR="001A58BD" w:rsidRPr="000B0C95">
        <w:rPr>
          <w:b w:val="0"/>
          <w:color w:val="auto"/>
        </w:rPr>
        <w:t xml:space="preserve"> of each child</w:t>
      </w:r>
      <w:r w:rsidR="00CA65ED" w:rsidRPr="000B0C95">
        <w:rPr>
          <w:b w:val="0"/>
          <w:color w:val="auto"/>
        </w:rPr>
        <w:t xml:space="preserve">. </w:t>
      </w:r>
      <w:r w:rsidR="007D2609" w:rsidRPr="000B0C95">
        <w:rPr>
          <w:b w:val="0"/>
          <w:color w:val="auto"/>
        </w:rPr>
        <w:t xml:space="preserve">The Department </w:t>
      </w:r>
      <w:r w:rsidR="008E03B0" w:rsidRPr="000B0C95">
        <w:rPr>
          <w:b w:val="0"/>
          <w:color w:val="auto"/>
        </w:rPr>
        <w:t xml:space="preserve">is working with regional </w:t>
      </w:r>
      <w:r w:rsidR="00891377" w:rsidRPr="000B0C95">
        <w:rPr>
          <w:b w:val="0"/>
          <w:color w:val="auto"/>
        </w:rPr>
        <w:t>s</w:t>
      </w:r>
      <w:r w:rsidR="008E03B0" w:rsidRPr="000B0C95">
        <w:rPr>
          <w:b w:val="0"/>
          <w:color w:val="auto"/>
        </w:rPr>
        <w:t xml:space="preserve">tate </w:t>
      </w:r>
      <w:r w:rsidR="00891377" w:rsidRPr="000B0C95">
        <w:rPr>
          <w:b w:val="0"/>
          <w:color w:val="auto"/>
        </w:rPr>
        <w:t>s</w:t>
      </w:r>
      <w:r w:rsidR="008E03B0" w:rsidRPr="000B0C95">
        <w:rPr>
          <w:b w:val="0"/>
          <w:color w:val="auto"/>
        </w:rPr>
        <w:t xml:space="preserve">upport </w:t>
      </w:r>
      <w:r w:rsidR="00891377" w:rsidRPr="000B0C95">
        <w:rPr>
          <w:b w:val="0"/>
          <w:color w:val="auto"/>
        </w:rPr>
        <w:t>t</w:t>
      </w:r>
      <w:r w:rsidR="008E03B0" w:rsidRPr="000B0C95">
        <w:rPr>
          <w:b w:val="0"/>
          <w:color w:val="auto"/>
        </w:rPr>
        <w:t xml:space="preserve">eams, </w:t>
      </w:r>
      <w:r w:rsidR="004878EA">
        <w:rPr>
          <w:b w:val="0"/>
          <w:color w:val="auto"/>
        </w:rPr>
        <w:t>e</w:t>
      </w:r>
      <w:r w:rsidR="008E03B0" w:rsidRPr="000B0C95">
        <w:rPr>
          <w:b w:val="0"/>
          <w:color w:val="auto"/>
        </w:rPr>
        <w:t xml:space="preserve">ducational </w:t>
      </w:r>
      <w:r w:rsidR="004878EA">
        <w:rPr>
          <w:b w:val="0"/>
          <w:color w:val="auto"/>
        </w:rPr>
        <w:t>s</w:t>
      </w:r>
      <w:r w:rsidR="008E03B0" w:rsidRPr="000B0C95">
        <w:rPr>
          <w:b w:val="0"/>
          <w:color w:val="auto"/>
        </w:rPr>
        <w:t xml:space="preserve">ervice </w:t>
      </w:r>
      <w:r w:rsidR="004878EA">
        <w:rPr>
          <w:b w:val="0"/>
          <w:color w:val="auto"/>
        </w:rPr>
        <w:t>c</w:t>
      </w:r>
      <w:r w:rsidR="008E03B0" w:rsidRPr="000B0C95">
        <w:rPr>
          <w:b w:val="0"/>
          <w:color w:val="auto"/>
        </w:rPr>
        <w:t xml:space="preserve">enters, districts, community schools and other partners to improve the process of identifying students for participation in the alternate assessment </w:t>
      </w:r>
      <w:r w:rsidR="00022AA1" w:rsidRPr="000B0C95">
        <w:rPr>
          <w:b w:val="0"/>
          <w:color w:val="auto"/>
        </w:rPr>
        <w:t xml:space="preserve">to ensure that </w:t>
      </w:r>
      <w:r w:rsidR="00A441AF" w:rsidRPr="000B0C95">
        <w:rPr>
          <w:b w:val="0"/>
          <w:color w:val="auto"/>
        </w:rPr>
        <w:t>all students have equitable access to</w:t>
      </w:r>
      <w:r w:rsidR="004523B6" w:rsidRPr="000B0C95">
        <w:rPr>
          <w:b w:val="0"/>
          <w:color w:val="auto"/>
        </w:rPr>
        <w:t xml:space="preserve"> high</w:t>
      </w:r>
      <w:r w:rsidR="001C2A07">
        <w:rPr>
          <w:b w:val="0"/>
          <w:color w:val="auto"/>
        </w:rPr>
        <w:t>-</w:t>
      </w:r>
      <w:r w:rsidR="004523B6" w:rsidRPr="000B0C95">
        <w:rPr>
          <w:b w:val="0"/>
          <w:color w:val="auto"/>
        </w:rPr>
        <w:t xml:space="preserve">quality education and </w:t>
      </w:r>
      <w:r w:rsidR="00DE65F2" w:rsidRPr="000B0C95">
        <w:rPr>
          <w:b w:val="0"/>
          <w:color w:val="auto"/>
        </w:rPr>
        <w:t xml:space="preserve">related </w:t>
      </w:r>
      <w:r w:rsidR="004523B6" w:rsidRPr="000B0C95">
        <w:rPr>
          <w:b w:val="0"/>
          <w:color w:val="auto"/>
        </w:rPr>
        <w:t xml:space="preserve">services </w:t>
      </w:r>
      <w:r w:rsidR="00DE65F2" w:rsidRPr="000B0C95">
        <w:rPr>
          <w:b w:val="0"/>
          <w:color w:val="auto"/>
        </w:rPr>
        <w:t xml:space="preserve">leading to post-secondary success. </w:t>
      </w:r>
      <w:r w:rsidR="00CB3030" w:rsidRPr="000B0C95">
        <w:rPr>
          <w:b w:val="0"/>
          <w:color w:val="auto"/>
        </w:rPr>
        <w:t xml:space="preserve">The </w:t>
      </w:r>
      <w:r w:rsidR="00B97A91" w:rsidRPr="000B0C95">
        <w:rPr>
          <w:b w:val="0"/>
          <w:color w:val="auto"/>
        </w:rPr>
        <w:t>strategic plan</w:t>
      </w:r>
      <w:r w:rsidR="00A5466C">
        <w:rPr>
          <w:b w:val="0"/>
          <w:color w:val="auto"/>
        </w:rPr>
        <w:t>s</w:t>
      </w:r>
      <w:r w:rsidR="00B97A91" w:rsidRPr="000B0C95">
        <w:rPr>
          <w:b w:val="0"/>
          <w:color w:val="auto"/>
        </w:rPr>
        <w:t xml:space="preserve"> </w:t>
      </w:r>
      <w:r w:rsidR="00346037" w:rsidRPr="000B0C95">
        <w:rPr>
          <w:b w:val="0"/>
          <w:color w:val="auto"/>
        </w:rPr>
        <w:t xml:space="preserve">promote a focus on meeting the needs of </w:t>
      </w:r>
      <w:r w:rsidR="004A5CE2" w:rsidRPr="000B0C95">
        <w:rPr>
          <w:b w:val="0"/>
          <w:color w:val="auto"/>
        </w:rPr>
        <w:t>the whole</w:t>
      </w:r>
      <w:r w:rsidR="00346037" w:rsidRPr="000B0C95">
        <w:rPr>
          <w:b w:val="0"/>
          <w:color w:val="auto"/>
        </w:rPr>
        <w:t xml:space="preserve"> child</w:t>
      </w:r>
      <w:r w:rsidR="00A36289" w:rsidRPr="000B0C95">
        <w:rPr>
          <w:b w:val="0"/>
          <w:color w:val="auto"/>
        </w:rPr>
        <w:t>. As we improve our ability to meet students’ individual learning</w:t>
      </w:r>
      <w:r w:rsidR="003B100F" w:rsidRPr="000B0C95">
        <w:rPr>
          <w:b w:val="0"/>
          <w:color w:val="auto"/>
        </w:rPr>
        <w:t xml:space="preserve">, behavioral and social emotional needs, fewer students will be at risk of being inappropriately identified as having a disability </w:t>
      </w:r>
      <w:r w:rsidR="00A26C3B" w:rsidRPr="000B0C95">
        <w:rPr>
          <w:b w:val="0"/>
          <w:color w:val="auto"/>
        </w:rPr>
        <w:t>and therefore</w:t>
      </w:r>
      <w:r w:rsidR="000C4A59" w:rsidRPr="000B0C95">
        <w:rPr>
          <w:b w:val="0"/>
          <w:color w:val="auto"/>
        </w:rPr>
        <w:t xml:space="preserve"> being inappropriately assigned to </w:t>
      </w:r>
      <w:r w:rsidR="00733A9A" w:rsidRPr="000B0C95">
        <w:rPr>
          <w:b w:val="0"/>
          <w:color w:val="auto"/>
        </w:rPr>
        <w:t>take an</w:t>
      </w:r>
      <w:r w:rsidR="000C4A59" w:rsidRPr="000B0C95">
        <w:rPr>
          <w:b w:val="0"/>
          <w:color w:val="auto"/>
        </w:rPr>
        <w:t xml:space="preserve"> alternate assessment.</w:t>
      </w:r>
      <w:bookmarkStart w:id="7" w:name="_Toc20039345"/>
      <w:r w:rsidR="000B0C95" w:rsidRPr="000B0C95">
        <w:rPr>
          <w:b w:val="0"/>
          <w:color w:val="auto"/>
        </w:rPr>
        <w:t xml:space="preserve"> </w:t>
      </w:r>
      <w:bookmarkEnd w:id="6"/>
      <w:bookmarkEnd w:id="7"/>
    </w:p>
    <w:p w14:paraId="744FD553" w14:textId="3D31949A" w:rsidR="00222EB3" w:rsidRDefault="00222EB3" w:rsidP="00222EB3">
      <w:r>
        <w:t xml:space="preserve">Ohio’s focus on </w:t>
      </w:r>
      <w:r w:rsidR="00127637">
        <w:t>e</w:t>
      </w:r>
      <w:r>
        <w:t xml:space="preserve">quity </w:t>
      </w:r>
      <w:r w:rsidR="00991892">
        <w:t xml:space="preserve">as a core principle </w:t>
      </w:r>
      <w:r>
        <w:t xml:space="preserve">has made access to appropriately rigorous curriculum and assessment for all students a priority. While the Department is working to reduce the percentage of students participating in the alternate assessment, </w:t>
      </w:r>
      <w:r w:rsidR="00DF71B8">
        <w:t>another</w:t>
      </w:r>
      <w:r>
        <w:t xml:space="preserve"> priority is to ensure that </w:t>
      </w:r>
      <w:r w:rsidR="00FE20F9">
        <w:t xml:space="preserve">all </w:t>
      </w:r>
      <w:r>
        <w:t xml:space="preserve">students are taking the </w:t>
      </w:r>
      <w:r w:rsidR="005E5880">
        <w:t xml:space="preserve">most appropriate </w:t>
      </w:r>
      <w:r>
        <w:t>assessments</w:t>
      </w:r>
      <w:r w:rsidR="005E5880">
        <w:t xml:space="preserve"> given their unique needs</w:t>
      </w:r>
      <w:r>
        <w:t>. The Department</w:t>
      </w:r>
      <w:r w:rsidR="00B43C22">
        <w:t xml:space="preserve"> is</w:t>
      </w:r>
      <w:r>
        <w:t xml:space="preserve"> working with regional </w:t>
      </w:r>
      <w:r w:rsidR="006B2026">
        <w:t xml:space="preserve">state </w:t>
      </w:r>
      <w:r>
        <w:t xml:space="preserve">support teams, districts and community schools to ensure that </w:t>
      </w:r>
      <w:r w:rsidR="00FC5670">
        <w:t>In</w:t>
      </w:r>
      <w:r w:rsidR="005D5FBD">
        <w:t>dividualized Education Program</w:t>
      </w:r>
      <w:r>
        <w:t xml:space="preserve"> teams are using guidance documents appropriately, consistently applying the criteria for alternate assessment participation and </w:t>
      </w:r>
      <w:r w:rsidR="004B7816">
        <w:t>using</w:t>
      </w:r>
      <w:r>
        <w:t xml:space="preserve"> the available accommodations to provide students with disabilities access to Ohio’s State Tests. </w:t>
      </w:r>
    </w:p>
    <w:p w14:paraId="32C63515" w14:textId="293BB1D8" w:rsidR="00222EB3" w:rsidRDefault="00222EB3" w:rsidP="00222EB3">
      <w:r>
        <w:t xml:space="preserve">Ohio has taken significant steps toward improving the </w:t>
      </w:r>
      <w:r w:rsidR="005F3C17">
        <w:t xml:space="preserve">appropriate </w:t>
      </w:r>
      <w:r>
        <w:t>use of the alternate assessment statewide. These steps include</w:t>
      </w:r>
      <w:r w:rsidR="0013242A">
        <w:t xml:space="preserve"> the following</w:t>
      </w:r>
      <w:r>
        <w:t>:</w:t>
      </w:r>
    </w:p>
    <w:p w14:paraId="55E7D6F6" w14:textId="0473F7A6" w:rsidR="009747C1" w:rsidRDefault="00F57B23" w:rsidP="000C4A59">
      <w:pPr>
        <w:pStyle w:val="ListParagraph"/>
        <w:numPr>
          <w:ilvl w:val="0"/>
          <w:numId w:val="17"/>
        </w:numPr>
        <w:spacing w:after="120"/>
        <w:contextualSpacing w:val="0"/>
      </w:pPr>
      <w:r>
        <w:t xml:space="preserve">The Department developed </w:t>
      </w:r>
      <w:r w:rsidR="009747C1">
        <w:t xml:space="preserve">three </w:t>
      </w:r>
      <w:r>
        <w:t xml:space="preserve">new </w:t>
      </w:r>
      <w:hyperlink r:id="rId19" w:history="1">
        <w:r w:rsidR="00166CFC">
          <w:rPr>
            <w:rStyle w:val="Hyperlink"/>
          </w:rPr>
          <w:t>F</w:t>
        </w:r>
        <w:r w:rsidRPr="00166CFC">
          <w:rPr>
            <w:rStyle w:val="Hyperlink"/>
          </w:rPr>
          <w:t xml:space="preserve">amily </w:t>
        </w:r>
        <w:r w:rsidR="00166CFC">
          <w:rPr>
            <w:rStyle w:val="Hyperlink"/>
          </w:rPr>
          <w:t>R</w:t>
        </w:r>
        <w:r w:rsidRPr="00166CFC">
          <w:rPr>
            <w:rStyle w:val="Hyperlink"/>
          </w:rPr>
          <w:t>esources</w:t>
        </w:r>
      </w:hyperlink>
      <w:r w:rsidR="009747C1">
        <w:t xml:space="preserve"> in spring 2021.</w:t>
      </w:r>
      <w:r>
        <w:t xml:space="preserve"> </w:t>
      </w:r>
      <w:r w:rsidR="009747C1" w:rsidRPr="009747C1">
        <w:t xml:space="preserve">These Frequently Asked Questions resources were developed to describe the Alternate Assessment for Students with the Most Significant Cognitive Disabilities. The first resource addresses the format for the online alternate assessment. The second resource </w:t>
      </w:r>
      <w:r w:rsidR="00DB0D2E">
        <w:t>details</w:t>
      </w:r>
      <w:r w:rsidR="009747C1" w:rsidRPr="009747C1">
        <w:t xml:space="preserve"> eligibility and participation in the alternate assessment. The third resource </w:t>
      </w:r>
      <w:r w:rsidR="00F17498">
        <w:t>provides information on</w:t>
      </w:r>
      <w:r w:rsidR="00F17498" w:rsidRPr="009747C1">
        <w:t xml:space="preserve"> </w:t>
      </w:r>
      <w:r w:rsidR="009747C1" w:rsidRPr="009747C1">
        <w:t xml:space="preserve">Ohio’s Learning Standards-Extended and </w:t>
      </w:r>
      <w:r w:rsidR="00F17498">
        <w:t>i</w:t>
      </w:r>
      <w:r w:rsidR="009747C1" w:rsidRPr="009747C1">
        <w:t>nstruction for students who participate in the alternate assessment.</w:t>
      </w:r>
      <w:r w:rsidR="00A363F1">
        <w:t xml:space="preserve"> The family resources </w:t>
      </w:r>
      <w:r w:rsidR="000E4F38">
        <w:t>are provided in a Spanish version as well.</w:t>
      </w:r>
    </w:p>
    <w:p w14:paraId="0A149AD4" w14:textId="7B4D9156" w:rsidR="003D118F" w:rsidRDefault="003367BC" w:rsidP="000C4A59">
      <w:pPr>
        <w:pStyle w:val="ListParagraph"/>
        <w:numPr>
          <w:ilvl w:val="0"/>
          <w:numId w:val="17"/>
        </w:numPr>
        <w:spacing w:after="120"/>
        <w:contextualSpacing w:val="0"/>
      </w:pPr>
      <w:r>
        <w:t>The Department a</w:t>
      </w:r>
      <w:r w:rsidR="002E4B4C">
        <w:t>dd</w:t>
      </w:r>
      <w:r w:rsidR="00C1573C">
        <w:t>ed</w:t>
      </w:r>
      <w:r w:rsidR="00222EB3">
        <w:t xml:space="preserve"> </w:t>
      </w:r>
      <w:r w:rsidR="00FB4D5B">
        <w:t>alternate assessment participation rates to</w:t>
      </w:r>
      <w:r w:rsidR="002E4B4C">
        <w:t xml:space="preserve"> both</w:t>
      </w:r>
      <w:r w:rsidR="00FB4D5B">
        <w:t xml:space="preserve"> the </w:t>
      </w:r>
      <w:hyperlink r:id="rId20" w:history="1">
        <w:r w:rsidR="00FB4D5B" w:rsidRPr="00677EDF">
          <w:rPr>
            <w:rStyle w:val="Hyperlink"/>
          </w:rPr>
          <w:t>Special Education Profiles and Special Education Ratings</w:t>
        </w:r>
      </w:hyperlink>
      <w:r w:rsidR="00F17498">
        <w:rPr>
          <w:rStyle w:val="Hyperlink"/>
        </w:rPr>
        <w:t>,</w:t>
      </w:r>
      <w:r w:rsidR="00FB4D5B">
        <w:t xml:space="preserve"> which are published annually. Both the </w:t>
      </w:r>
      <w:r w:rsidR="00B43C22">
        <w:t>p</w:t>
      </w:r>
      <w:r w:rsidR="00FB4D5B">
        <w:t xml:space="preserve">rofiles and the </w:t>
      </w:r>
      <w:r w:rsidR="00B43C22">
        <w:t>r</w:t>
      </w:r>
      <w:r w:rsidR="00FB4D5B">
        <w:t xml:space="preserve">atings are available to stakeholders and include easy to understand explanations of the published data. </w:t>
      </w:r>
      <w:r w:rsidR="00A86923">
        <w:t>Districts and community schools identified as significantly exceeding the 1</w:t>
      </w:r>
      <w:r w:rsidR="00B25910">
        <w:t>.0</w:t>
      </w:r>
      <w:r w:rsidR="00A86923">
        <w:t xml:space="preserve"> percent threshold are </w:t>
      </w:r>
      <w:r w:rsidR="0016301B">
        <w:t>assigned to Tier 3</w:t>
      </w:r>
      <w:r w:rsidR="00B43C22">
        <w:t xml:space="preserve"> of a tiered intervention and support system. Districts and community schools identified for Tier 3 are required, with the assistance of </w:t>
      </w:r>
      <w:r w:rsidR="004353C6">
        <w:t xml:space="preserve">regional </w:t>
      </w:r>
      <w:r w:rsidR="00B43C22">
        <w:t>stat</w:t>
      </w:r>
      <w:r w:rsidR="00456F87">
        <w:t>e</w:t>
      </w:r>
      <w:r w:rsidR="00B43C22">
        <w:t xml:space="preserve"> support team consultants, </w:t>
      </w:r>
      <w:r w:rsidR="00A86923">
        <w:t>to complete a root cause data analysis and a</w:t>
      </w:r>
      <w:r w:rsidR="00CD27C1">
        <w:t>n</w:t>
      </w:r>
      <w:r w:rsidR="00A86923">
        <w:t xml:space="preserve"> </w:t>
      </w:r>
      <w:r w:rsidR="00CD27C1">
        <w:t>improvement</w:t>
      </w:r>
      <w:r w:rsidR="00A86923">
        <w:t xml:space="preserve"> plan</w:t>
      </w:r>
      <w:r w:rsidR="007C6D77">
        <w:t>.</w:t>
      </w:r>
      <w:r w:rsidR="00B43C22">
        <w:t xml:space="preserve"> </w:t>
      </w:r>
      <w:r w:rsidR="005D3E2D">
        <w:t>R</w:t>
      </w:r>
      <w:r w:rsidR="0071405C">
        <w:t xml:space="preserve">egional state support team consultants piloted the National </w:t>
      </w:r>
      <w:r w:rsidR="0071405C">
        <w:lastRenderedPageBreak/>
        <w:t xml:space="preserve">Center on Educational Outcomes’ </w:t>
      </w:r>
      <w:hyperlink r:id="rId21" w:history="1">
        <w:r w:rsidR="0071405C" w:rsidRPr="00CB090F">
          <w:rPr>
            <w:rStyle w:val="Hyperlink"/>
          </w:rPr>
          <w:t>Disproportionality Calculator</w:t>
        </w:r>
      </w:hyperlink>
      <w:r w:rsidR="0071405C">
        <w:t xml:space="preserve"> with </w:t>
      </w:r>
      <w:r w:rsidR="00CB090F">
        <w:t>Tier 3</w:t>
      </w:r>
      <w:r w:rsidR="0071405C">
        <w:t xml:space="preserve"> districts. All tier 3 districts </w:t>
      </w:r>
      <w:r w:rsidR="00D27F6B">
        <w:t>identified in 2021-202</w:t>
      </w:r>
      <w:r w:rsidR="00516F4A">
        <w:t>2</w:t>
      </w:r>
      <w:r w:rsidR="00772354">
        <w:t xml:space="preserve"> will</w:t>
      </w:r>
      <w:r w:rsidR="00516F4A">
        <w:t xml:space="preserve"> </w:t>
      </w:r>
      <w:r w:rsidR="00AC146B">
        <w:t xml:space="preserve">complete the Self-Review Summary Report, an Improvement Plan and the Disproportionality Calculator. </w:t>
      </w:r>
      <w:r w:rsidR="00F62CC2">
        <w:t>These activities are</w:t>
      </w:r>
      <w:r w:rsidR="0071405C">
        <w:t xml:space="preserve"> monitored at the state level through Ohio’s compliance dashboard.</w:t>
      </w:r>
    </w:p>
    <w:p w14:paraId="21648A55" w14:textId="09913173" w:rsidR="00364870" w:rsidRDefault="003367BC" w:rsidP="00364870">
      <w:pPr>
        <w:pStyle w:val="ListParagraph"/>
        <w:numPr>
          <w:ilvl w:val="0"/>
          <w:numId w:val="17"/>
        </w:numPr>
        <w:spacing w:after="120"/>
        <w:contextualSpacing w:val="0"/>
      </w:pPr>
      <w:r>
        <w:t xml:space="preserve">The Department </w:t>
      </w:r>
      <w:r w:rsidR="00445290">
        <w:t xml:space="preserve">continues to </w:t>
      </w:r>
      <w:r>
        <w:t>w</w:t>
      </w:r>
      <w:r w:rsidR="00E4057F">
        <w:t xml:space="preserve">ork in partnership with stakeholder groups like </w:t>
      </w:r>
      <w:r w:rsidR="00C87A71">
        <w:t>OCALI’s</w:t>
      </w:r>
      <w:r w:rsidR="00FE7320">
        <w:t xml:space="preserve"> state </w:t>
      </w:r>
      <w:hyperlink r:id="rId22" w:history="1">
        <w:r w:rsidR="00FE7320" w:rsidRPr="00033225">
          <w:rPr>
            <w:rStyle w:val="Hyperlink"/>
          </w:rPr>
          <w:t>Assistive Technology network</w:t>
        </w:r>
      </w:hyperlink>
      <w:r w:rsidR="00E4057F">
        <w:t xml:space="preserve"> </w:t>
      </w:r>
      <w:r w:rsidR="003D118F">
        <w:t>and other</w:t>
      </w:r>
      <w:r w:rsidR="00FE7320">
        <w:t>s</w:t>
      </w:r>
      <w:r w:rsidR="003D118F">
        <w:t xml:space="preserve"> </w:t>
      </w:r>
      <w:r w:rsidR="00E4057F">
        <w:t xml:space="preserve">to provide regional </w:t>
      </w:r>
      <w:r w:rsidR="00891377">
        <w:t>s</w:t>
      </w:r>
      <w:r w:rsidR="00E4057F">
        <w:t xml:space="preserve">tate </w:t>
      </w:r>
      <w:r w:rsidR="00891377">
        <w:t>s</w:t>
      </w:r>
      <w:r w:rsidR="00E4057F">
        <w:t xml:space="preserve">upport </w:t>
      </w:r>
      <w:r w:rsidR="00891377">
        <w:t>t</w:t>
      </w:r>
      <w:r w:rsidR="00E4057F">
        <w:t xml:space="preserve">eams with training and tools to support appropriate use of the alternate assessment and Ohio’s Learning Standards – </w:t>
      </w:r>
      <w:r w:rsidR="00E4057F" w:rsidRPr="00364870">
        <w:t>Extended</w:t>
      </w:r>
      <w:r w:rsidR="00C1573C" w:rsidRPr="00364870">
        <w:t>.</w:t>
      </w:r>
    </w:p>
    <w:p w14:paraId="2FD127AE" w14:textId="227315FA" w:rsidR="0071405C" w:rsidRDefault="00DD2458" w:rsidP="00DC5A70">
      <w:pPr>
        <w:pStyle w:val="ListParagraph"/>
        <w:numPr>
          <w:ilvl w:val="0"/>
          <w:numId w:val="17"/>
        </w:numPr>
        <w:spacing w:after="120"/>
        <w:contextualSpacing w:val="0"/>
      </w:pPr>
      <w:r w:rsidRPr="00364870">
        <w:t>The Department</w:t>
      </w:r>
      <w:r w:rsidR="000D048E">
        <w:t xml:space="preserve"> </w:t>
      </w:r>
      <w:r w:rsidR="009B428A">
        <w:t>implemented the</w:t>
      </w:r>
      <w:r w:rsidR="000D048E">
        <w:t xml:space="preserve"> </w:t>
      </w:r>
      <w:hyperlink r:id="rId23" w:history="1">
        <w:r w:rsidR="003426D6" w:rsidRPr="003426D6">
          <w:rPr>
            <w:rStyle w:val="Hyperlink"/>
          </w:rPr>
          <w:t>Alternate Assessment Decision-</w:t>
        </w:r>
        <w:r w:rsidR="004921CC">
          <w:rPr>
            <w:rStyle w:val="Hyperlink"/>
          </w:rPr>
          <w:t>M</w:t>
        </w:r>
        <w:r w:rsidR="003426D6" w:rsidRPr="003426D6">
          <w:rPr>
            <w:rStyle w:val="Hyperlink"/>
          </w:rPr>
          <w:t>aking Tool</w:t>
        </w:r>
      </w:hyperlink>
      <w:r w:rsidR="00BB113A">
        <w:t xml:space="preserve"> in fall 2020.</w:t>
      </w:r>
      <w:r w:rsidR="000D048E">
        <w:t xml:space="preserve"> </w:t>
      </w:r>
      <w:r w:rsidR="000E29E9">
        <w:t xml:space="preserve">The tool is </w:t>
      </w:r>
      <w:r w:rsidR="006E21CD">
        <w:t xml:space="preserve">embedded in the state’s individualized education program documents and required to be </w:t>
      </w:r>
      <w:r w:rsidR="00BB113A">
        <w:t xml:space="preserve">utilized </w:t>
      </w:r>
      <w:r w:rsidR="006E21CD">
        <w:t xml:space="preserve">when statewide testing is considered. </w:t>
      </w:r>
      <w:r w:rsidR="0002330C">
        <w:t xml:space="preserve">The </w:t>
      </w:r>
      <w:r w:rsidR="00614E85">
        <w:t xml:space="preserve">regional state support </w:t>
      </w:r>
      <w:r w:rsidR="001343AB">
        <w:t xml:space="preserve">team consultants </w:t>
      </w:r>
      <w:r w:rsidR="00BB113A">
        <w:t xml:space="preserve">will continue to provide </w:t>
      </w:r>
      <w:r w:rsidR="00D77291">
        <w:t>district training on the tool</w:t>
      </w:r>
      <w:r w:rsidR="00912DB1">
        <w:t xml:space="preserve"> prior to </w:t>
      </w:r>
      <w:r w:rsidR="0060135E">
        <w:t xml:space="preserve">the </w:t>
      </w:r>
      <w:r w:rsidR="00912DB1">
        <w:t>spring 202</w:t>
      </w:r>
      <w:r w:rsidR="00BB113A">
        <w:t>2</w:t>
      </w:r>
      <w:r w:rsidR="00912DB1">
        <w:t xml:space="preserve"> alternate assessment </w:t>
      </w:r>
      <w:r w:rsidR="0060135E">
        <w:t xml:space="preserve">test </w:t>
      </w:r>
      <w:r w:rsidR="00BB113A">
        <w:t xml:space="preserve">administration </w:t>
      </w:r>
      <w:r w:rsidR="0060135E">
        <w:t xml:space="preserve">window. </w:t>
      </w:r>
    </w:p>
    <w:p w14:paraId="2C873CEB" w14:textId="04FD58EC" w:rsidR="001A3B15" w:rsidRDefault="00D025CB" w:rsidP="00C771F6">
      <w:pPr>
        <w:pStyle w:val="ListParagraph"/>
        <w:numPr>
          <w:ilvl w:val="0"/>
          <w:numId w:val="17"/>
        </w:numPr>
        <w:spacing w:after="120"/>
        <w:contextualSpacing w:val="0"/>
      </w:pPr>
      <w:r>
        <w:t>The Department will require all Tier 3 districts and schools to complete the</w:t>
      </w:r>
      <w:r w:rsidR="006F1815">
        <w:t xml:space="preserve"> National Center on Educational Outcome’s</w:t>
      </w:r>
      <w:r>
        <w:t xml:space="preserve"> </w:t>
      </w:r>
      <w:hyperlink r:id="rId24" w:history="1">
        <w:r w:rsidR="004525D7" w:rsidRPr="006F1815">
          <w:rPr>
            <w:rStyle w:val="Hyperlink"/>
          </w:rPr>
          <w:t>Dispro</w:t>
        </w:r>
        <w:r w:rsidR="00C771F6" w:rsidRPr="006F1815">
          <w:rPr>
            <w:rStyle w:val="Hyperlink"/>
          </w:rPr>
          <w:t>portionality C</w:t>
        </w:r>
        <w:r w:rsidR="004525D7" w:rsidRPr="006F1815">
          <w:rPr>
            <w:rStyle w:val="Hyperlink"/>
          </w:rPr>
          <w:t>alculator</w:t>
        </w:r>
      </w:hyperlink>
      <w:r w:rsidR="00A64CE7">
        <w:t xml:space="preserve"> </w:t>
      </w:r>
      <w:r>
        <w:t xml:space="preserve">as a component of </w:t>
      </w:r>
      <w:r w:rsidR="00E61DB5" w:rsidRPr="00E61DB5">
        <w:t>mandatory action steps</w:t>
      </w:r>
      <w:r w:rsidR="00276E72">
        <w:t xml:space="preserve">. </w:t>
      </w:r>
    </w:p>
    <w:p w14:paraId="297A107F" w14:textId="0F1F8C19" w:rsidR="00CF5811" w:rsidRDefault="00A769D2" w:rsidP="00AF0336">
      <w:pPr>
        <w:pStyle w:val="ListParagraph"/>
        <w:numPr>
          <w:ilvl w:val="0"/>
          <w:numId w:val="17"/>
        </w:numPr>
      </w:pPr>
      <w:r>
        <w:t xml:space="preserve">Alternate Assessment Workgroup members </w:t>
      </w:r>
      <w:r w:rsidR="00A80093">
        <w:t xml:space="preserve">from across the agency, along with selected stakeholders, </w:t>
      </w:r>
      <w:r w:rsidR="00494E36">
        <w:t xml:space="preserve">participate in ongoing </w:t>
      </w:r>
      <w:r w:rsidR="00A80093">
        <w:t xml:space="preserve">national learning and networking opportunities. These opportunities include </w:t>
      </w:r>
      <w:r w:rsidR="005B36F7">
        <w:t xml:space="preserve">the National Center on Educational Outcomes’ Communities of </w:t>
      </w:r>
      <w:r w:rsidR="005B36F7" w:rsidRPr="00CD27C1">
        <w:t>Practice</w:t>
      </w:r>
      <w:r w:rsidR="003D118F" w:rsidRPr="00CD27C1">
        <w:t xml:space="preserve"> and P</w:t>
      </w:r>
      <w:r w:rsidR="005B36F7" w:rsidRPr="00CD27C1">
        <w:t xml:space="preserve">rofessional </w:t>
      </w:r>
      <w:r w:rsidR="003D118F" w:rsidRPr="00CD27C1">
        <w:t>L</w:t>
      </w:r>
      <w:r w:rsidR="005B36F7" w:rsidRPr="00CD27C1">
        <w:t xml:space="preserve">earning </w:t>
      </w:r>
      <w:r w:rsidR="003D118F" w:rsidRPr="00CD27C1">
        <w:t>G</w:t>
      </w:r>
      <w:r w:rsidR="005B36F7" w:rsidRPr="00CD27C1">
        <w:t>roups</w:t>
      </w:r>
      <w:r w:rsidR="003D118F" w:rsidRPr="00CD27C1">
        <w:t xml:space="preserve">, </w:t>
      </w:r>
      <w:r w:rsidR="009076B5">
        <w:t>the TIES Center</w:t>
      </w:r>
      <w:r w:rsidR="00371956">
        <w:t>’s Professional Learning Groups,</w:t>
      </w:r>
      <w:r w:rsidR="009076B5">
        <w:t xml:space="preserve"> </w:t>
      </w:r>
      <w:r w:rsidR="00A80093" w:rsidRPr="00CD27C1">
        <w:t xml:space="preserve">membership in </w:t>
      </w:r>
      <w:r w:rsidR="00AF0336" w:rsidRPr="00AF0336">
        <w:t>CCSSO</w:t>
      </w:r>
      <w:r w:rsidR="00C87A71">
        <w:t xml:space="preserve"> </w:t>
      </w:r>
      <w:r w:rsidR="00AF0336" w:rsidRPr="00AF0336">
        <w:t>ASES SCASS</w:t>
      </w:r>
      <w:r w:rsidR="00AF0336">
        <w:t xml:space="preserve"> </w:t>
      </w:r>
      <w:r w:rsidR="00371956">
        <w:t xml:space="preserve">and </w:t>
      </w:r>
      <w:r w:rsidR="00C87A71">
        <w:t>OCALI’s</w:t>
      </w:r>
      <w:r w:rsidR="005B36F7">
        <w:t xml:space="preserve"> </w:t>
      </w:r>
      <w:hyperlink r:id="rId25">
        <w:r w:rsidR="006B2756" w:rsidRPr="797D2337">
          <w:rPr>
            <w:rStyle w:val="Hyperlink"/>
          </w:rPr>
          <w:t>OCALICON</w:t>
        </w:r>
      </w:hyperlink>
      <w:r w:rsidR="006B2756">
        <w:t xml:space="preserve"> </w:t>
      </w:r>
      <w:r w:rsidR="009D3ABE">
        <w:t>inter</w:t>
      </w:r>
      <w:r w:rsidR="005B36F7">
        <w:t>national conference</w:t>
      </w:r>
      <w:r w:rsidR="00371956">
        <w:t xml:space="preserve">. </w:t>
      </w:r>
      <w:r w:rsidR="0019511E">
        <w:t xml:space="preserve">With support from the United States Department of Education Office for Elementary and Secondary Education, </w:t>
      </w:r>
      <w:r w:rsidR="00EA7835">
        <w:t>t</w:t>
      </w:r>
      <w:r w:rsidR="0019511E">
        <w:t xml:space="preserve">he National Center for Educational Outcomes </w:t>
      </w:r>
      <w:r w:rsidR="00D92AFC">
        <w:t>began</w:t>
      </w:r>
      <w:r w:rsidR="0019511E">
        <w:t xml:space="preserve"> providing technical assistance to Ohio on their </w:t>
      </w:r>
      <w:r w:rsidR="6489ABFB">
        <w:t>one</w:t>
      </w:r>
      <w:r w:rsidR="00EA7835">
        <w:t xml:space="preserve"> percent</w:t>
      </w:r>
      <w:r w:rsidR="0019511E">
        <w:t xml:space="preserve"> work in February 2020. Ohio meets with the National Center for Educational Outcomes monthly and the technical assistance is ongoing. </w:t>
      </w:r>
      <w:bookmarkStart w:id="8" w:name="_Toc524527556"/>
      <w:bookmarkStart w:id="9" w:name="_Toc20039346"/>
    </w:p>
    <w:p w14:paraId="5FA5D2C5" w14:textId="2BCF0DDC" w:rsidR="009515BD" w:rsidRDefault="009515BD" w:rsidP="009515BD">
      <w:pPr>
        <w:spacing w:after="120"/>
      </w:pPr>
      <w:r>
        <w:t xml:space="preserve">The </w:t>
      </w:r>
      <w:r w:rsidR="005669DE">
        <w:t>2021-2022</w:t>
      </w:r>
      <w:r>
        <w:t xml:space="preserve"> state waiver extension request was posted for public comment from </w:t>
      </w:r>
      <w:r w:rsidR="00B76067">
        <w:t>Nov</w:t>
      </w:r>
      <w:r w:rsidR="00AC6CB9">
        <w:t xml:space="preserve">ember </w:t>
      </w:r>
      <w:r w:rsidR="00C87A71">
        <w:t>8-15</w:t>
      </w:r>
      <w:r>
        <w:t>, 202</w:t>
      </w:r>
      <w:r w:rsidR="00AC6CB9">
        <w:t>1</w:t>
      </w:r>
      <w:r>
        <w:t xml:space="preserve">. </w:t>
      </w:r>
    </w:p>
    <w:p w14:paraId="1CA7C54F" w14:textId="44E38DC8" w:rsidR="001155D8" w:rsidRPr="009515BD" w:rsidRDefault="00CF5811" w:rsidP="009515BD">
      <w:pPr>
        <w:spacing w:line="259" w:lineRule="auto"/>
        <w:rPr>
          <w:rFonts w:eastAsiaTheme="majorEastAsia"/>
          <w:b/>
          <w:color w:val="2E74B5" w:themeColor="accent5" w:themeShade="BF"/>
        </w:rPr>
      </w:pPr>
      <w:r>
        <w:br w:type="page"/>
      </w:r>
      <w:r w:rsidR="001E57AB">
        <w:lastRenderedPageBreak/>
        <w:t xml:space="preserve">REQUIRED COMPONENTS OF </w:t>
      </w:r>
      <w:r w:rsidR="001155D8" w:rsidRPr="001155D8">
        <w:t xml:space="preserve">ONE PERCENT WAIVER </w:t>
      </w:r>
      <w:r w:rsidR="001B4CEE">
        <w:t xml:space="preserve">EXTENSION </w:t>
      </w:r>
      <w:r w:rsidR="001155D8" w:rsidRPr="001155D8">
        <w:t>REQUEST</w:t>
      </w:r>
      <w:bookmarkEnd w:id="8"/>
      <w:bookmarkEnd w:id="9"/>
    </w:p>
    <w:p w14:paraId="27E34AE6" w14:textId="34083941" w:rsidR="00F06275" w:rsidRPr="00F06275" w:rsidRDefault="001E57AB" w:rsidP="00273760">
      <w:pPr>
        <w:pStyle w:val="Heading2"/>
      </w:pPr>
      <w:bookmarkStart w:id="10" w:name="_Toc524527557"/>
      <w:bookmarkStart w:id="11" w:name="_Toc20039347"/>
      <w:bookmarkStart w:id="12" w:name="_Toc54954293"/>
      <w:r w:rsidRPr="00F06275">
        <w:rPr>
          <w:rStyle w:val="Heading2Char"/>
          <w:b/>
        </w:rPr>
        <w:t>Component 1</w:t>
      </w:r>
      <w:bookmarkEnd w:id="10"/>
      <w:bookmarkEnd w:id="11"/>
      <w:bookmarkEnd w:id="12"/>
    </w:p>
    <w:p w14:paraId="73028CB5" w14:textId="06AEF252" w:rsidR="002C3584" w:rsidRPr="00F06275" w:rsidRDefault="002C3584" w:rsidP="00D6040D">
      <w:pPr>
        <w:pStyle w:val="Style1"/>
        <w:rPr>
          <w:i/>
        </w:rPr>
      </w:pPr>
      <w:r w:rsidRPr="00F06275">
        <w:rPr>
          <w:b/>
          <w:i/>
        </w:rPr>
        <w:t xml:space="preserve">Be submitted at least 90 days prior to the start of the </w:t>
      </w:r>
      <w:r w:rsidR="001C10EB" w:rsidRPr="00F06275">
        <w:rPr>
          <w:b/>
          <w:i/>
        </w:rPr>
        <w:t xml:space="preserve">state’s </w:t>
      </w:r>
      <w:r w:rsidRPr="00F06275">
        <w:rPr>
          <w:b/>
          <w:i/>
        </w:rPr>
        <w:t xml:space="preserve">testing window for the relevant </w:t>
      </w:r>
      <w:proofErr w:type="gramStart"/>
      <w:r w:rsidRPr="00F06275">
        <w:rPr>
          <w:b/>
          <w:i/>
        </w:rPr>
        <w:t>subject;</w:t>
      </w:r>
      <w:proofErr w:type="gramEnd"/>
    </w:p>
    <w:p w14:paraId="10E5AA4E" w14:textId="2CECD889" w:rsidR="002C3584" w:rsidRPr="001C10EB" w:rsidRDefault="002C3584" w:rsidP="005822E4">
      <w:r w:rsidRPr="001C10EB">
        <w:t xml:space="preserve">Ohio’s assessment window for the Alternate Assessment for </w:t>
      </w:r>
      <w:r w:rsidR="007B1A80">
        <w:t>S</w:t>
      </w:r>
      <w:r w:rsidRPr="001C10EB">
        <w:t xml:space="preserve">tudents with </w:t>
      </w:r>
      <w:r w:rsidR="00E03310">
        <w:t xml:space="preserve">the Most </w:t>
      </w:r>
      <w:r w:rsidRPr="001C10EB">
        <w:t>Significant Cognitive Disabilities open</w:t>
      </w:r>
      <w:r w:rsidR="00713976">
        <w:t>s</w:t>
      </w:r>
      <w:r w:rsidRPr="001C10EB">
        <w:t xml:space="preserve"> </w:t>
      </w:r>
      <w:r w:rsidR="00750E9E" w:rsidRPr="001C10EB">
        <w:t>Feb</w:t>
      </w:r>
      <w:r w:rsidR="00750E9E">
        <w:t xml:space="preserve">. </w:t>
      </w:r>
      <w:r w:rsidR="003A3B05">
        <w:t>2</w:t>
      </w:r>
      <w:r w:rsidR="003B7D61">
        <w:t>2</w:t>
      </w:r>
      <w:r w:rsidRPr="001C10EB">
        <w:t xml:space="preserve">, </w:t>
      </w:r>
      <w:r w:rsidR="00713976">
        <w:t>202</w:t>
      </w:r>
      <w:r w:rsidR="003B7D61">
        <w:t>2</w:t>
      </w:r>
      <w:r w:rsidR="00750E9E" w:rsidRPr="001C10EB">
        <w:t xml:space="preserve">. </w:t>
      </w:r>
      <w:bookmarkStart w:id="13" w:name="_Hlk24467767"/>
      <w:r w:rsidRPr="001C10EB">
        <w:t>Ninety days prior to the start of Ohio’s testing window (</w:t>
      </w:r>
      <w:r w:rsidR="00750E9E" w:rsidRPr="001C10EB">
        <w:t>Nov</w:t>
      </w:r>
      <w:r w:rsidR="00750E9E">
        <w:t>.</w:t>
      </w:r>
      <w:r w:rsidR="00750E9E" w:rsidRPr="001C10EB">
        <w:t xml:space="preserve"> </w:t>
      </w:r>
      <w:r w:rsidR="003B7D61">
        <w:t>22</w:t>
      </w:r>
      <w:r w:rsidRPr="001C10EB">
        <w:t>, 20</w:t>
      </w:r>
      <w:r w:rsidR="003A3B05">
        <w:t>2</w:t>
      </w:r>
      <w:r w:rsidR="003B7D61">
        <w:t>1</w:t>
      </w:r>
      <w:r w:rsidRPr="001C10EB">
        <w:t xml:space="preserve">), </w:t>
      </w:r>
      <w:bookmarkEnd w:id="13"/>
      <w:r w:rsidRPr="001C10EB">
        <w:t xml:space="preserve">the Department will submit a waiver </w:t>
      </w:r>
      <w:r w:rsidR="001B4CEE">
        <w:t xml:space="preserve">extension </w:t>
      </w:r>
      <w:r w:rsidRPr="001C10EB">
        <w:t>request to the United States Department of Education</w:t>
      </w:r>
      <w:r w:rsidR="001B4CEE">
        <w:t>.</w:t>
      </w:r>
      <w:r w:rsidRPr="001C10EB">
        <w:t xml:space="preserve"> </w:t>
      </w:r>
    </w:p>
    <w:p w14:paraId="74FA0345" w14:textId="3A8936B9" w:rsidR="00F06275" w:rsidRPr="00D6040D" w:rsidRDefault="001E57AB" w:rsidP="00273760">
      <w:pPr>
        <w:pStyle w:val="Heading2"/>
      </w:pPr>
      <w:bookmarkStart w:id="14" w:name="_Toc524527558"/>
      <w:bookmarkStart w:id="15" w:name="_Toc20039348"/>
      <w:bookmarkStart w:id="16" w:name="_Toc54954294"/>
      <w:r w:rsidRPr="00D6040D">
        <w:rPr>
          <w:rStyle w:val="Heading2Char"/>
          <w:b/>
        </w:rPr>
        <w:t>Component 2</w:t>
      </w:r>
      <w:bookmarkEnd w:id="14"/>
      <w:bookmarkEnd w:id="15"/>
      <w:bookmarkEnd w:id="16"/>
      <w:r w:rsidRPr="00D6040D">
        <w:t xml:space="preserve"> </w:t>
      </w:r>
    </w:p>
    <w:p w14:paraId="3A8B8E5D" w14:textId="529AE5B9" w:rsidR="002C3584" w:rsidRPr="00F06275" w:rsidRDefault="002C3584" w:rsidP="00D6040D">
      <w:pPr>
        <w:pStyle w:val="Style1"/>
        <w:rPr>
          <w:b/>
          <w:i/>
        </w:rPr>
      </w:pPr>
      <w:r w:rsidRPr="00F06275">
        <w:rPr>
          <w:b/>
          <w:i/>
        </w:rPr>
        <w:t xml:space="preserve">Provide </w:t>
      </w:r>
      <w:r w:rsidR="001C10EB" w:rsidRPr="00F06275">
        <w:rPr>
          <w:b/>
          <w:i/>
        </w:rPr>
        <w:t>s</w:t>
      </w:r>
      <w:r w:rsidRPr="00F06275">
        <w:rPr>
          <w:b/>
          <w:i/>
        </w:rPr>
        <w:t>tate-level data, from the current or previous school year, to show</w:t>
      </w:r>
      <w:r w:rsidR="001C10EB" w:rsidRPr="00F06275">
        <w:rPr>
          <w:b/>
          <w:i/>
        </w:rPr>
        <w:t>:</w:t>
      </w:r>
    </w:p>
    <w:p w14:paraId="16E1634C" w14:textId="77777777" w:rsidR="002C3584" w:rsidRPr="00F06275" w:rsidRDefault="002C3584" w:rsidP="000C4A59">
      <w:pPr>
        <w:pStyle w:val="ListParagraph"/>
        <w:numPr>
          <w:ilvl w:val="0"/>
          <w:numId w:val="4"/>
        </w:numPr>
        <w:ind w:left="360"/>
        <w:rPr>
          <w:b/>
          <w:i/>
        </w:rPr>
      </w:pPr>
      <w:r w:rsidRPr="00F06275">
        <w:rPr>
          <w:b/>
          <w:i/>
        </w:rPr>
        <w:t>The number and percentage of students in each subgroup of students who to</w:t>
      </w:r>
      <w:r w:rsidR="00971992" w:rsidRPr="00F06275">
        <w:rPr>
          <w:b/>
          <w:i/>
        </w:rPr>
        <w:t xml:space="preserve">ok an alternate </w:t>
      </w:r>
      <w:proofErr w:type="gramStart"/>
      <w:r w:rsidR="00971992" w:rsidRPr="00F06275">
        <w:rPr>
          <w:b/>
          <w:i/>
        </w:rPr>
        <w:t>assessment;</w:t>
      </w:r>
      <w:proofErr w:type="gramEnd"/>
    </w:p>
    <w:p w14:paraId="1DD5B2B9" w14:textId="59748FA8" w:rsidR="00932B93" w:rsidRDefault="00F878C5" w:rsidP="0075383B">
      <w:pPr>
        <w:kinsoku w:val="0"/>
        <w:overflowPunct w:val="0"/>
        <w:autoSpaceDE w:val="0"/>
        <w:autoSpaceDN w:val="0"/>
        <w:adjustRightInd w:val="0"/>
        <w:spacing w:after="0"/>
        <w:ind w:left="100" w:right="286" w:hanging="1"/>
      </w:pPr>
      <w:bookmarkStart w:id="17" w:name="COMPONENT_2"/>
      <w:bookmarkEnd w:id="17"/>
      <w:r w:rsidRPr="00F878C5">
        <w:t xml:space="preserve">Component two of Ohio’s one percent waiver extension request includes the </w:t>
      </w:r>
      <w:r w:rsidR="00657328">
        <w:t xml:space="preserve">number and </w:t>
      </w:r>
      <w:r w:rsidRPr="00F878C5">
        <w:t>percentage of students assessed</w:t>
      </w:r>
      <w:r w:rsidR="00657328">
        <w:t xml:space="preserve"> in each subgroup of students who took </w:t>
      </w:r>
      <w:r w:rsidRPr="00F878C5">
        <w:t xml:space="preserve">the Alternate Assessment for Students with </w:t>
      </w:r>
      <w:r w:rsidR="00E03310">
        <w:t xml:space="preserve">the Most </w:t>
      </w:r>
      <w:r w:rsidRPr="00F878C5">
        <w:t>Significant Cognitive Disabilities</w:t>
      </w:r>
      <w:r w:rsidR="00657328">
        <w:t xml:space="preserve"> (</w:t>
      </w:r>
      <w:r w:rsidR="00657328" w:rsidRPr="00657328">
        <w:rPr>
          <w:i/>
        </w:rPr>
        <w:t xml:space="preserve">See </w:t>
      </w:r>
      <w:r w:rsidR="00657328" w:rsidRPr="00E03310">
        <w:rPr>
          <w:i/>
        </w:rPr>
        <w:t>Table</w:t>
      </w:r>
      <w:r w:rsidR="00027561">
        <w:rPr>
          <w:i/>
        </w:rPr>
        <w:t>s</w:t>
      </w:r>
      <w:r w:rsidR="00657328" w:rsidRPr="00E03310">
        <w:rPr>
          <w:i/>
        </w:rPr>
        <w:t xml:space="preserve"> 2</w:t>
      </w:r>
      <w:r w:rsidR="00B24F7A">
        <w:rPr>
          <w:i/>
        </w:rPr>
        <w:t>A-2C</w:t>
      </w:r>
      <w:r w:rsidR="00657328">
        <w:t>)</w:t>
      </w:r>
      <w:r w:rsidRPr="00F878C5">
        <w:t>.</w:t>
      </w:r>
    </w:p>
    <w:p w14:paraId="46C3FFF1" w14:textId="77777777" w:rsidR="00B24F7A" w:rsidRDefault="00B24F7A" w:rsidP="0075383B">
      <w:pPr>
        <w:kinsoku w:val="0"/>
        <w:overflowPunct w:val="0"/>
        <w:autoSpaceDE w:val="0"/>
        <w:autoSpaceDN w:val="0"/>
        <w:adjustRightInd w:val="0"/>
        <w:spacing w:after="0"/>
        <w:ind w:left="100" w:right="286" w:hanging="1"/>
      </w:pPr>
    </w:p>
    <w:p w14:paraId="53EF9655" w14:textId="77EC5C0E" w:rsidR="00F06275" w:rsidRDefault="00F06275" w:rsidP="00616047">
      <w:pPr>
        <w:autoSpaceDE w:val="0"/>
        <w:autoSpaceDN w:val="0"/>
        <w:adjustRightInd w:val="0"/>
        <w:spacing w:after="120" w:line="240" w:lineRule="auto"/>
        <w:rPr>
          <w:b/>
          <w:bCs/>
          <w:color w:val="000000" w:themeColor="text1"/>
        </w:rPr>
      </w:pPr>
      <w:bookmarkStart w:id="18" w:name="_Hlk47440445"/>
      <w:r w:rsidRPr="00595F50">
        <w:rPr>
          <w:b/>
          <w:bCs/>
          <w:color w:val="000000" w:themeColor="text1"/>
        </w:rPr>
        <w:t>T</w:t>
      </w:r>
      <w:r w:rsidR="00616047">
        <w:rPr>
          <w:b/>
          <w:bCs/>
          <w:color w:val="000000" w:themeColor="text1"/>
        </w:rPr>
        <w:t>able</w:t>
      </w:r>
      <w:r w:rsidRPr="00595F50">
        <w:rPr>
          <w:b/>
          <w:bCs/>
          <w:color w:val="000000" w:themeColor="text1"/>
        </w:rPr>
        <w:t xml:space="preserve"> </w:t>
      </w:r>
      <w:r w:rsidR="00657328" w:rsidRPr="00E3307C">
        <w:rPr>
          <w:b/>
          <w:bCs/>
          <w:color w:val="000000" w:themeColor="text1"/>
        </w:rPr>
        <w:t>2</w:t>
      </w:r>
      <w:r w:rsidR="00F75B88">
        <w:rPr>
          <w:b/>
          <w:bCs/>
          <w:color w:val="000000" w:themeColor="text1"/>
        </w:rPr>
        <w:t>A</w:t>
      </w:r>
      <w:r w:rsidRPr="00595F50">
        <w:rPr>
          <w:b/>
          <w:bCs/>
          <w:color w:val="000000" w:themeColor="text1"/>
        </w:rPr>
        <w:t xml:space="preserve">: </w:t>
      </w:r>
      <w:r w:rsidR="007A5433">
        <w:rPr>
          <w:b/>
          <w:bCs/>
          <w:color w:val="000000" w:themeColor="text1"/>
        </w:rPr>
        <w:t>2020-2021</w:t>
      </w:r>
      <w:r w:rsidR="006016F8" w:rsidRPr="00595F50">
        <w:rPr>
          <w:b/>
          <w:bCs/>
          <w:color w:val="000000" w:themeColor="text1"/>
        </w:rPr>
        <w:t xml:space="preserve"> </w:t>
      </w:r>
      <w:r w:rsidRPr="00595F50">
        <w:rPr>
          <w:b/>
          <w:bCs/>
          <w:color w:val="000000" w:themeColor="text1"/>
        </w:rPr>
        <w:t xml:space="preserve">Participation in </w:t>
      </w:r>
      <w:r w:rsidR="00F32E5B">
        <w:rPr>
          <w:b/>
          <w:bCs/>
          <w:color w:val="000000" w:themeColor="text1"/>
        </w:rPr>
        <w:t xml:space="preserve">the Reading </w:t>
      </w:r>
      <w:r w:rsidRPr="00595F50">
        <w:rPr>
          <w:b/>
          <w:bCs/>
          <w:color w:val="000000" w:themeColor="text1"/>
        </w:rPr>
        <w:t>Alternate Assessment</w:t>
      </w:r>
      <w:r w:rsidR="00F75B88">
        <w:rPr>
          <w:b/>
          <w:bCs/>
          <w:color w:val="000000" w:themeColor="text1"/>
        </w:rPr>
        <w:t xml:space="preserve"> </w:t>
      </w:r>
      <w:r w:rsidRPr="00595F50">
        <w:rPr>
          <w:b/>
          <w:bCs/>
          <w:color w:val="000000" w:themeColor="text1"/>
        </w:rPr>
        <w:t xml:space="preserve">(Grades 3-8 and High </w:t>
      </w:r>
      <w:r w:rsidR="00D50817">
        <w:rPr>
          <w:b/>
          <w:bCs/>
          <w:color w:val="000000" w:themeColor="text1"/>
        </w:rPr>
        <w:t xml:space="preserve">School) </w:t>
      </w:r>
    </w:p>
    <w:tbl>
      <w:tblPr>
        <w:tblStyle w:val="TableGrid1"/>
        <w:tblW w:w="0" w:type="auto"/>
        <w:tblLook w:val="04A0" w:firstRow="1" w:lastRow="0" w:firstColumn="1" w:lastColumn="0" w:noHBand="0" w:noVBand="1"/>
        <w:tblCaption w:val="2020-2021 Participation in the Reading Alternate Assessment (Grades 3-8 &amp; high school)"/>
        <w:tblDescription w:val="This graph shows the number of students, broken down into subgroup, who participated in the reading alternate assessment. Data shows the number of students who took the standard reading assessment, the number of students who took the reading alternate assessment, all students tested and the percent of students alternately assessed. Overall in reading, 828,659 students were tested, 11,503 students took the alternate assessment, 840,162 total students were tested, and 1.37% of the students were alternately assessed. "/>
      </w:tblPr>
      <w:tblGrid>
        <w:gridCol w:w="3695"/>
        <w:gridCol w:w="2077"/>
        <w:gridCol w:w="1761"/>
        <w:gridCol w:w="1521"/>
        <w:gridCol w:w="1635"/>
      </w:tblGrid>
      <w:tr w:rsidR="000A39C1" w:rsidRPr="00027561" w14:paraId="72056647" w14:textId="77777777" w:rsidTr="00906998">
        <w:trPr>
          <w:trHeight w:val="1434"/>
        </w:trPr>
        <w:tc>
          <w:tcPr>
            <w:tcW w:w="3695" w:type="dxa"/>
            <w:shd w:val="clear" w:color="auto" w:fill="9CC2E5" w:themeFill="accent5" w:themeFillTint="99"/>
            <w:noWrap/>
            <w:vAlign w:val="center"/>
            <w:hideMark/>
          </w:tcPr>
          <w:p w14:paraId="18EDAE5C" w14:textId="77777777" w:rsidR="000A39C1" w:rsidRPr="00027561" w:rsidRDefault="000A39C1" w:rsidP="00BC4D2C">
            <w:pPr>
              <w:spacing w:line="240" w:lineRule="auto"/>
              <w:jc w:val="center"/>
              <w:rPr>
                <w:b/>
                <w:bCs/>
              </w:rPr>
            </w:pPr>
            <w:bookmarkStart w:id="19" w:name="Reading_Alternate_Assessment"/>
            <w:bookmarkStart w:id="20" w:name="_Hlk18917252"/>
            <w:bookmarkEnd w:id="18"/>
            <w:r w:rsidRPr="00027561">
              <w:rPr>
                <w:b/>
                <w:bCs/>
              </w:rPr>
              <w:t>Subgroup</w:t>
            </w:r>
          </w:p>
        </w:tc>
        <w:tc>
          <w:tcPr>
            <w:tcW w:w="2077" w:type="dxa"/>
            <w:shd w:val="clear" w:color="auto" w:fill="9CC2E5" w:themeFill="accent5" w:themeFillTint="99"/>
            <w:vAlign w:val="center"/>
            <w:hideMark/>
          </w:tcPr>
          <w:p w14:paraId="7146D18A" w14:textId="2C5B2466" w:rsidR="000A39C1" w:rsidRPr="00027561" w:rsidRDefault="000A39C1" w:rsidP="00BC4D2C">
            <w:pPr>
              <w:spacing w:line="240" w:lineRule="auto"/>
              <w:jc w:val="center"/>
              <w:rPr>
                <w:b/>
                <w:bCs/>
              </w:rPr>
            </w:pPr>
            <w:r w:rsidRPr="00027561">
              <w:rPr>
                <w:b/>
                <w:bCs/>
              </w:rPr>
              <w:t>Number of Students Who Took the Standard Assessment</w:t>
            </w:r>
          </w:p>
        </w:tc>
        <w:tc>
          <w:tcPr>
            <w:tcW w:w="1761" w:type="dxa"/>
            <w:shd w:val="clear" w:color="auto" w:fill="9CC2E5" w:themeFill="accent5" w:themeFillTint="99"/>
            <w:vAlign w:val="center"/>
            <w:hideMark/>
          </w:tcPr>
          <w:p w14:paraId="44E19E55" w14:textId="4FC67343" w:rsidR="000A39C1" w:rsidRPr="00027561" w:rsidRDefault="000A39C1" w:rsidP="00BC4D2C">
            <w:pPr>
              <w:spacing w:line="240" w:lineRule="auto"/>
              <w:jc w:val="center"/>
              <w:rPr>
                <w:b/>
                <w:bCs/>
              </w:rPr>
            </w:pPr>
            <w:r w:rsidRPr="00027561">
              <w:rPr>
                <w:b/>
                <w:bCs/>
              </w:rPr>
              <w:t>Number of Students Who Took the Alternate Assessment</w:t>
            </w:r>
          </w:p>
        </w:tc>
        <w:tc>
          <w:tcPr>
            <w:tcW w:w="1521" w:type="dxa"/>
            <w:shd w:val="clear" w:color="auto" w:fill="9CC2E5" w:themeFill="accent5" w:themeFillTint="99"/>
            <w:vAlign w:val="center"/>
            <w:hideMark/>
          </w:tcPr>
          <w:p w14:paraId="1E83FED1" w14:textId="77777777" w:rsidR="000A39C1" w:rsidRPr="00027561" w:rsidRDefault="000A39C1" w:rsidP="00BC4D2C">
            <w:pPr>
              <w:spacing w:line="240" w:lineRule="auto"/>
              <w:jc w:val="center"/>
              <w:rPr>
                <w:b/>
                <w:bCs/>
              </w:rPr>
            </w:pPr>
            <w:r w:rsidRPr="00027561">
              <w:rPr>
                <w:b/>
                <w:bCs/>
              </w:rPr>
              <w:t>All Students Tested</w:t>
            </w:r>
          </w:p>
        </w:tc>
        <w:tc>
          <w:tcPr>
            <w:tcW w:w="1635" w:type="dxa"/>
            <w:shd w:val="clear" w:color="auto" w:fill="9CC2E5" w:themeFill="accent5" w:themeFillTint="99"/>
            <w:vAlign w:val="center"/>
            <w:hideMark/>
          </w:tcPr>
          <w:p w14:paraId="48D36CE5" w14:textId="0B40C1A9" w:rsidR="000A39C1" w:rsidRPr="00027561" w:rsidRDefault="000A39C1" w:rsidP="00BC4D2C">
            <w:pPr>
              <w:spacing w:line="240" w:lineRule="auto"/>
              <w:jc w:val="center"/>
              <w:rPr>
                <w:b/>
                <w:bCs/>
              </w:rPr>
            </w:pPr>
            <w:r w:rsidRPr="00027561">
              <w:rPr>
                <w:b/>
                <w:bCs/>
              </w:rPr>
              <w:t>Percent Alternately Assessed</w:t>
            </w:r>
          </w:p>
        </w:tc>
      </w:tr>
      <w:tr w:rsidR="000A39C1" w:rsidRPr="00027561" w14:paraId="2AD6C1B9" w14:textId="77777777" w:rsidTr="00906998">
        <w:trPr>
          <w:trHeight w:val="298"/>
        </w:trPr>
        <w:tc>
          <w:tcPr>
            <w:tcW w:w="3695" w:type="dxa"/>
            <w:noWrap/>
            <w:hideMark/>
          </w:tcPr>
          <w:p w14:paraId="115B3740" w14:textId="77777777" w:rsidR="000A39C1" w:rsidRPr="00027561" w:rsidRDefault="000A39C1" w:rsidP="00802D17">
            <w:pPr>
              <w:spacing w:line="240" w:lineRule="auto"/>
              <w:rPr>
                <w:b/>
                <w:bCs/>
              </w:rPr>
            </w:pPr>
            <w:r w:rsidRPr="00027561">
              <w:rPr>
                <w:b/>
                <w:bCs/>
              </w:rPr>
              <w:t>All Students</w:t>
            </w:r>
          </w:p>
        </w:tc>
        <w:tc>
          <w:tcPr>
            <w:tcW w:w="2077" w:type="dxa"/>
            <w:noWrap/>
            <w:hideMark/>
          </w:tcPr>
          <w:p w14:paraId="73635CBA" w14:textId="29CF849A" w:rsidR="000A39C1" w:rsidRPr="00027561" w:rsidRDefault="000A39C1" w:rsidP="009926D5">
            <w:pPr>
              <w:spacing w:line="240" w:lineRule="auto"/>
              <w:jc w:val="right"/>
              <w:rPr>
                <w:b/>
                <w:bCs/>
              </w:rPr>
            </w:pPr>
            <w:r w:rsidRPr="00027561">
              <w:rPr>
                <w:b/>
                <w:bCs/>
              </w:rPr>
              <w:t>828,659</w:t>
            </w:r>
          </w:p>
        </w:tc>
        <w:tc>
          <w:tcPr>
            <w:tcW w:w="1761" w:type="dxa"/>
            <w:noWrap/>
            <w:hideMark/>
          </w:tcPr>
          <w:p w14:paraId="45E93A8A" w14:textId="76800F15" w:rsidR="000A39C1" w:rsidRPr="00027561" w:rsidRDefault="000A39C1" w:rsidP="009926D5">
            <w:pPr>
              <w:spacing w:line="240" w:lineRule="auto"/>
              <w:jc w:val="right"/>
              <w:rPr>
                <w:b/>
                <w:bCs/>
              </w:rPr>
            </w:pPr>
            <w:r w:rsidRPr="00027561">
              <w:rPr>
                <w:b/>
                <w:bCs/>
              </w:rPr>
              <w:t>11,503</w:t>
            </w:r>
          </w:p>
        </w:tc>
        <w:tc>
          <w:tcPr>
            <w:tcW w:w="1521" w:type="dxa"/>
            <w:noWrap/>
            <w:hideMark/>
          </w:tcPr>
          <w:p w14:paraId="1F779A6C" w14:textId="4B563927" w:rsidR="000A39C1" w:rsidRPr="00027561" w:rsidRDefault="000A39C1" w:rsidP="009926D5">
            <w:pPr>
              <w:spacing w:line="240" w:lineRule="auto"/>
              <w:jc w:val="right"/>
              <w:rPr>
                <w:b/>
                <w:bCs/>
              </w:rPr>
            </w:pPr>
            <w:r w:rsidRPr="00027561">
              <w:rPr>
                <w:b/>
                <w:bCs/>
              </w:rPr>
              <w:t>840,162</w:t>
            </w:r>
          </w:p>
        </w:tc>
        <w:tc>
          <w:tcPr>
            <w:tcW w:w="1635" w:type="dxa"/>
            <w:noWrap/>
            <w:hideMark/>
          </w:tcPr>
          <w:p w14:paraId="4A6BF65A" w14:textId="12042349" w:rsidR="000A39C1" w:rsidRPr="00027561" w:rsidRDefault="000A39C1" w:rsidP="20205FD2">
            <w:pPr>
              <w:spacing w:line="240" w:lineRule="auto"/>
              <w:jc w:val="right"/>
              <w:rPr>
                <w:b/>
                <w:bCs/>
              </w:rPr>
            </w:pPr>
            <w:r w:rsidRPr="00027561">
              <w:rPr>
                <w:b/>
                <w:bCs/>
              </w:rPr>
              <w:t>1.37%</w:t>
            </w:r>
          </w:p>
        </w:tc>
      </w:tr>
      <w:tr w:rsidR="000A39C1" w:rsidRPr="00027561" w14:paraId="6F8A262F" w14:textId="77777777" w:rsidTr="00906998">
        <w:trPr>
          <w:trHeight w:val="283"/>
        </w:trPr>
        <w:tc>
          <w:tcPr>
            <w:tcW w:w="3695" w:type="dxa"/>
            <w:shd w:val="clear" w:color="auto" w:fill="DEEAF6" w:themeFill="accent5" w:themeFillTint="33"/>
            <w:noWrap/>
            <w:hideMark/>
          </w:tcPr>
          <w:p w14:paraId="2B513E33" w14:textId="77777777" w:rsidR="000A39C1" w:rsidRPr="00027561" w:rsidRDefault="000A39C1" w:rsidP="00802D17">
            <w:pPr>
              <w:spacing w:line="240" w:lineRule="auto"/>
            </w:pPr>
            <w:r w:rsidRPr="00027561">
              <w:t>American Indian or Alaskan Native</w:t>
            </w:r>
          </w:p>
        </w:tc>
        <w:tc>
          <w:tcPr>
            <w:tcW w:w="2077" w:type="dxa"/>
            <w:shd w:val="clear" w:color="auto" w:fill="DEEAF6" w:themeFill="accent5" w:themeFillTint="33"/>
            <w:noWrap/>
            <w:vAlign w:val="center"/>
            <w:hideMark/>
          </w:tcPr>
          <w:p w14:paraId="66CBEDF6" w14:textId="065941F0" w:rsidR="000A39C1" w:rsidRPr="00027561" w:rsidRDefault="000A39C1" w:rsidP="009926D5">
            <w:pPr>
              <w:spacing w:line="240" w:lineRule="auto"/>
              <w:jc w:val="right"/>
            </w:pPr>
            <w:r w:rsidRPr="00027561">
              <w:t>944</w:t>
            </w:r>
          </w:p>
        </w:tc>
        <w:tc>
          <w:tcPr>
            <w:tcW w:w="1761" w:type="dxa"/>
            <w:shd w:val="clear" w:color="auto" w:fill="DEEAF6" w:themeFill="accent5" w:themeFillTint="33"/>
            <w:noWrap/>
            <w:vAlign w:val="center"/>
            <w:hideMark/>
          </w:tcPr>
          <w:p w14:paraId="3874E27D" w14:textId="15913164" w:rsidR="000A39C1" w:rsidRPr="00027561" w:rsidRDefault="000A39C1" w:rsidP="009926D5">
            <w:pPr>
              <w:spacing w:line="240" w:lineRule="auto"/>
              <w:jc w:val="right"/>
            </w:pPr>
            <w:r w:rsidRPr="00027561">
              <w:t>14</w:t>
            </w:r>
          </w:p>
        </w:tc>
        <w:tc>
          <w:tcPr>
            <w:tcW w:w="1521" w:type="dxa"/>
            <w:shd w:val="clear" w:color="auto" w:fill="DEEAF6" w:themeFill="accent5" w:themeFillTint="33"/>
            <w:noWrap/>
            <w:vAlign w:val="center"/>
            <w:hideMark/>
          </w:tcPr>
          <w:p w14:paraId="7721B35E" w14:textId="3E38A9D4" w:rsidR="000A39C1" w:rsidRPr="00027561" w:rsidRDefault="000A39C1" w:rsidP="009926D5">
            <w:pPr>
              <w:spacing w:line="240" w:lineRule="auto"/>
              <w:jc w:val="right"/>
            </w:pPr>
            <w:r w:rsidRPr="00027561">
              <w:t>958</w:t>
            </w:r>
          </w:p>
        </w:tc>
        <w:tc>
          <w:tcPr>
            <w:tcW w:w="1635" w:type="dxa"/>
            <w:shd w:val="clear" w:color="auto" w:fill="DEEAF6" w:themeFill="accent5" w:themeFillTint="33"/>
            <w:noWrap/>
            <w:vAlign w:val="center"/>
            <w:hideMark/>
          </w:tcPr>
          <w:p w14:paraId="62EB14CF" w14:textId="77777777" w:rsidR="000A39C1" w:rsidRPr="00027561" w:rsidRDefault="000A39C1" w:rsidP="009926D5">
            <w:pPr>
              <w:spacing w:line="240" w:lineRule="auto"/>
              <w:jc w:val="right"/>
            </w:pPr>
            <w:r w:rsidRPr="00027561">
              <w:t>1.48%</w:t>
            </w:r>
          </w:p>
        </w:tc>
      </w:tr>
      <w:tr w:rsidR="000A39C1" w:rsidRPr="00027561" w14:paraId="10A78200" w14:textId="77777777" w:rsidTr="00906998">
        <w:trPr>
          <w:trHeight w:val="283"/>
        </w:trPr>
        <w:tc>
          <w:tcPr>
            <w:tcW w:w="3695" w:type="dxa"/>
            <w:noWrap/>
            <w:hideMark/>
          </w:tcPr>
          <w:p w14:paraId="532BD122" w14:textId="77777777" w:rsidR="000A39C1" w:rsidRPr="00027561" w:rsidRDefault="000A39C1" w:rsidP="00802D17">
            <w:pPr>
              <w:spacing w:line="240" w:lineRule="auto"/>
            </w:pPr>
            <w:r w:rsidRPr="00027561">
              <w:t>Asian or Pacific Islander</w:t>
            </w:r>
          </w:p>
        </w:tc>
        <w:tc>
          <w:tcPr>
            <w:tcW w:w="2077" w:type="dxa"/>
            <w:noWrap/>
            <w:hideMark/>
          </w:tcPr>
          <w:p w14:paraId="5302E350" w14:textId="191ED80C" w:rsidR="000A39C1" w:rsidRPr="00027561" w:rsidRDefault="000A39C1" w:rsidP="009926D5">
            <w:pPr>
              <w:spacing w:line="240" w:lineRule="auto"/>
              <w:jc w:val="right"/>
            </w:pPr>
            <w:r w:rsidRPr="00027561">
              <w:t>22,163</w:t>
            </w:r>
          </w:p>
        </w:tc>
        <w:tc>
          <w:tcPr>
            <w:tcW w:w="1761" w:type="dxa"/>
            <w:noWrap/>
            <w:hideMark/>
          </w:tcPr>
          <w:p w14:paraId="30D7455C" w14:textId="3FACAA1E" w:rsidR="000A39C1" w:rsidRPr="00027561" w:rsidRDefault="000A39C1" w:rsidP="009926D5">
            <w:pPr>
              <w:spacing w:line="240" w:lineRule="auto"/>
              <w:jc w:val="right"/>
            </w:pPr>
            <w:r w:rsidRPr="00027561">
              <w:t>260</w:t>
            </w:r>
          </w:p>
        </w:tc>
        <w:tc>
          <w:tcPr>
            <w:tcW w:w="1521" w:type="dxa"/>
            <w:noWrap/>
            <w:hideMark/>
          </w:tcPr>
          <w:p w14:paraId="4D8CB755" w14:textId="45DB65E2" w:rsidR="000A39C1" w:rsidRPr="00027561" w:rsidRDefault="000A39C1" w:rsidP="009926D5">
            <w:pPr>
              <w:spacing w:line="240" w:lineRule="auto"/>
              <w:jc w:val="right"/>
            </w:pPr>
            <w:r w:rsidRPr="00027561">
              <w:t>22,423</w:t>
            </w:r>
          </w:p>
        </w:tc>
        <w:tc>
          <w:tcPr>
            <w:tcW w:w="1635" w:type="dxa"/>
            <w:noWrap/>
            <w:hideMark/>
          </w:tcPr>
          <w:p w14:paraId="2A621AB6" w14:textId="77777777" w:rsidR="000A39C1" w:rsidRPr="00027561" w:rsidRDefault="000A39C1" w:rsidP="009926D5">
            <w:pPr>
              <w:spacing w:line="240" w:lineRule="auto"/>
              <w:jc w:val="right"/>
            </w:pPr>
            <w:r w:rsidRPr="00027561">
              <w:t>1.17%</w:t>
            </w:r>
          </w:p>
        </w:tc>
      </w:tr>
      <w:tr w:rsidR="000A39C1" w:rsidRPr="00027561" w14:paraId="312EE0E2" w14:textId="77777777" w:rsidTr="00906998">
        <w:trPr>
          <w:trHeight w:val="283"/>
        </w:trPr>
        <w:tc>
          <w:tcPr>
            <w:tcW w:w="3695" w:type="dxa"/>
            <w:shd w:val="clear" w:color="auto" w:fill="DEEAF6" w:themeFill="accent5" w:themeFillTint="33"/>
            <w:noWrap/>
            <w:hideMark/>
          </w:tcPr>
          <w:p w14:paraId="0E5CEC87" w14:textId="77777777" w:rsidR="000A39C1" w:rsidRPr="00027561" w:rsidRDefault="000A39C1" w:rsidP="00802D17">
            <w:pPr>
              <w:spacing w:line="240" w:lineRule="auto"/>
            </w:pPr>
            <w:r w:rsidRPr="00027561">
              <w:t>Black, Non-Hispanic</w:t>
            </w:r>
          </w:p>
        </w:tc>
        <w:tc>
          <w:tcPr>
            <w:tcW w:w="2077" w:type="dxa"/>
            <w:shd w:val="clear" w:color="auto" w:fill="DEEAF6" w:themeFill="accent5" w:themeFillTint="33"/>
            <w:noWrap/>
            <w:hideMark/>
          </w:tcPr>
          <w:p w14:paraId="1DEAC233" w14:textId="4F52FE81" w:rsidR="000A39C1" w:rsidRPr="00027561" w:rsidRDefault="000A39C1" w:rsidP="009926D5">
            <w:pPr>
              <w:spacing w:line="240" w:lineRule="auto"/>
              <w:jc w:val="right"/>
            </w:pPr>
            <w:r w:rsidRPr="00027561">
              <w:t>130,111</w:t>
            </w:r>
          </w:p>
        </w:tc>
        <w:tc>
          <w:tcPr>
            <w:tcW w:w="1761" w:type="dxa"/>
            <w:shd w:val="clear" w:color="auto" w:fill="DEEAF6" w:themeFill="accent5" w:themeFillTint="33"/>
            <w:noWrap/>
            <w:hideMark/>
          </w:tcPr>
          <w:p w14:paraId="5228D91F" w14:textId="5E071604" w:rsidR="000A39C1" w:rsidRPr="00027561" w:rsidRDefault="000A39C1" w:rsidP="009926D5">
            <w:pPr>
              <w:spacing w:line="240" w:lineRule="auto"/>
              <w:jc w:val="right"/>
            </w:pPr>
            <w:r w:rsidRPr="00027561">
              <w:t>2,731</w:t>
            </w:r>
          </w:p>
        </w:tc>
        <w:tc>
          <w:tcPr>
            <w:tcW w:w="1521" w:type="dxa"/>
            <w:shd w:val="clear" w:color="auto" w:fill="DEEAF6" w:themeFill="accent5" w:themeFillTint="33"/>
            <w:noWrap/>
            <w:hideMark/>
          </w:tcPr>
          <w:p w14:paraId="041E55C1" w14:textId="0CE06B57" w:rsidR="000A39C1" w:rsidRPr="00027561" w:rsidRDefault="000A39C1" w:rsidP="009926D5">
            <w:pPr>
              <w:spacing w:line="240" w:lineRule="auto"/>
              <w:jc w:val="right"/>
            </w:pPr>
            <w:r w:rsidRPr="00027561">
              <w:t>132,842</w:t>
            </w:r>
          </w:p>
        </w:tc>
        <w:tc>
          <w:tcPr>
            <w:tcW w:w="1635" w:type="dxa"/>
            <w:shd w:val="clear" w:color="auto" w:fill="DEEAF6" w:themeFill="accent5" w:themeFillTint="33"/>
            <w:noWrap/>
            <w:hideMark/>
          </w:tcPr>
          <w:p w14:paraId="1ACC7846" w14:textId="77777777" w:rsidR="000A39C1" w:rsidRPr="00027561" w:rsidRDefault="000A39C1" w:rsidP="009926D5">
            <w:pPr>
              <w:spacing w:line="240" w:lineRule="auto"/>
              <w:jc w:val="right"/>
            </w:pPr>
            <w:r w:rsidRPr="00027561">
              <w:t>2.10%</w:t>
            </w:r>
          </w:p>
        </w:tc>
      </w:tr>
      <w:tr w:rsidR="000A39C1" w:rsidRPr="00027561" w14:paraId="48FF3F33" w14:textId="77777777" w:rsidTr="00906998">
        <w:trPr>
          <w:trHeight w:val="283"/>
        </w:trPr>
        <w:tc>
          <w:tcPr>
            <w:tcW w:w="3695" w:type="dxa"/>
            <w:noWrap/>
            <w:hideMark/>
          </w:tcPr>
          <w:p w14:paraId="42FFF00B" w14:textId="77777777" w:rsidR="000A39C1" w:rsidRPr="00027561" w:rsidRDefault="000A39C1" w:rsidP="00802D17">
            <w:pPr>
              <w:spacing w:line="240" w:lineRule="auto"/>
            </w:pPr>
            <w:r w:rsidRPr="00027561">
              <w:t>Hispanic</w:t>
            </w:r>
          </w:p>
        </w:tc>
        <w:tc>
          <w:tcPr>
            <w:tcW w:w="2077" w:type="dxa"/>
            <w:noWrap/>
            <w:hideMark/>
          </w:tcPr>
          <w:p w14:paraId="6FA8A917" w14:textId="3DFA72E8" w:rsidR="000A39C1" w:rsidRPr="00027561" w:rsidRDefault="000A39C1" w:rsidP="009926D5">
            <w:pPr>
              <w:spacing w:line="240" w:lineRule="auto"/>
              <w:jc w:val="right"/>
            </w:pPr>
            <w:r w:rsidRPr="00027561">
              <w:t>55,747</w:t>
            </w:r>
          </w:p>
        </w:tc>
        <w:tc>
          <w:tcPr>
            <w:tcW w:w="1761" w:type="dxa"/>
            <w:noWrap/>
            <w:hideMark/>
          </w:tcPr>
          <w:p w14:paraId="346BC20E" w14:textId="50E47E7B" w:rsidR="000A39C1" w:rsidRPr="00027561" w:rsidRDefault="000A39C1" w:rsidP="009926D5">
            <w:pPr>
              <w:spacing w:line="240" w:lineRule="auto"/>
              <w:jc w:val="right"/>
            </w:pPr>
            <w:r w:rsidRPr="00027561">
              <w:t>736</w:t>
            </w:r>
          </w:p>
        </w:tc>
        <w:tc>
          <w:tcPr>
            <w:tcW w:w="1521" w:type="dxa"/>
            <w:noWrap/>
            <w:hideMark/>
          </w:tcPr>
          <w:p w14:paraId="25005FBD" w14:textId="1882B316" w:rsidR="000A39C1" w:rsidRPr="00027561" w:rsidRDefault="000A39C1" w:rsidP="009926D5">
            <w:pPr>
              <w:spacing w:line="240" w:lineRule="auto"/>
              <w:jc w:val="right"/>
            </w:pPr>
            <w:r w:rsidRPr="00027561">
              <w:t>56,483</w:t>
            </w:r>
          </w:p>
        </w:tc>
        <w:tc>
          <w:tcPr>
            <w:tcW w:w="1635" w:type="dxa"/>
            <w:noWrap/>
            <w:hideMark/>
          </w:tcPr>
          <w:p w14:paraId="1A65A889" w14:textId="77777777" w:rsidR="000A39C1" w:rsidRPr="00027561" w:rsidRDefault="000A39C1" w:rsidP="009926D5">
            <w:pPr>
              <w:spacing w:line="240" w:lineRule="auto"/>
              <w:jc w:val="right"/>
            </w:pPr>
            <w:r w:rsidRPr="00027561">
              <w:t>1.32%</w:t>
            </w:r>
          </w:p>
        </w:tc>
      </w:tr>
      <w:tr w:rsidR="000A39C1" w:rsidRPr="00027561" w14:paraId="7259B6D8" w14:textId="77777777" w:rsidTr="00906998">
        <w:trPr>
          <w:trHeight w:val="283"/>
        </w:trPr>
        <w:tc>
          <w:tcPr>
            <w:tcW w:w="3695" w:type="dxa"/>
            <w:shd w:val="clear" w:color="auto" w:fill="DEEAF6" w:themeFill="accent5" w:themeFillTint="33"/>
            <w:noWrap/>
            <w:hideMark/>
          </w:tcPr>
          <w:p w14:paraId="3F0C863E" w14:textId="77777777" w:rsidR="000A39C1" w:rsidRPr="00027561" w:rsidRDefault="000A39C1" w:rsidP="00802D17">
            <w:pPr>
              <w:spacing w:line="240" w:lineRule="auto"/>
            </w:pPr>
            <w:r w:rsidRPr="00027561">
              <w:t>Multiracial</w:t>
            </w:r>
          </w:p>
        </w:tc>
        <w:tc>
          <w:tcPr>
            <w:tcW w:w="2077" w:type="dxa"/>
            <w:shd w:val="clear" w:color="auto" w:fill="DEEAF6" w:themeFill="accent5" w:themeFillTint="33"/>
            <w:noWrap/>
            <w:hideMark/>
          </w:tcPr>
          <w:p w14:paraId="5E86D8E2" w14:textId="4C16F22A" w:rsidR="000A39C1" w:rsidRPr="00027561" w:rsidRDefault="000A39C1" w:rsidP="009926D5">
            <w:pPr>
              <w:spacing w:line="240" w:lineRule="auto"/>
              <w:jc w:val="right"/>
            </w:pPr>
            <w:r w:rsidRPr="00027561">
              <w:t>47,181</w:t>
            </w:r>
          </w:p>
        </w:tc>
        <w:tc>
          <w:tcPr>
            <w:tcW w:w="1761" w:type="dxa"/>
            <w:shd w:val="clear" w:color="auto" w:fill="DEEAF6" w:themeFill="accent5" w:themeFillTint="33"/>
            <w:noWrap/>
            <w:hideMark/>
          </w:tcPr>
          <w:p w14:paraId="763B3735" w14:textId="68D50528" w:rsidR="000A39C1" w:rsidRPr="00027561" w:rsidRDefault="000A39C1" w:rsidP="009926D5">
            <w:pPr>
              <w:spacing w:line="240" w:lineRule="auto"/>
              <w:jc w:val="right"/>
            </w:pPr>
            <w:r w:rsidRPr="00027561">
              <w:t>599</w:t>
            </w:r>
          </w:p>
        </w:tc>
        <w:tc>
          <w:tcPr>
            <w:tcW w:w="1521" w:type="dxa"/>
            <w:shd w:val="clear" w:color="auto" w:fill="DEEAF6" w:themeFill="accent5" w:themeFillTint="33"/>
            <w:noWrap/>
            <w:hideMark/>
          </w:tcPr>
          <w:p w14:paraId="58C1D5AD" w14:textId="691D1B98" w:rsidR="000A39C1" w:rsidRPr="00027561" w:rsidRDefault="000A39C1" w:rsidP="009926D5">
            <w:pPr>
              <w:spacing w:line="240" w:lineRule="auto"/>
              <w:jc w:val="right"/>
            </w:pPr>
            <w:r w:rsidRPr="00027561">
              <w:t>47,780</w:t>
            </w:r>
          </w:p>
        </w:tc>
        <w:tc>
          <w:tcPr>
            <w:tcW w:w="1635" w:type="dxa"/>
            <w:shd w:val="clear" w:color="auto" w:fill="DEEAF6" w:themeFill="accent5" w:themeFillTint="33"/>
            <w:noWrap/>
            <w:hideMark/>
          </w:tcPr>
          <w:p w14:paraId="1F2F3D91" w14:textId="77777777" w:rsidR="000A39C1" w:rsidRPr="00027561" w:rsidRDefault="000A39C1" w:rsidP="009926D5">
            <w:pPr>
              <w:spacing w:line="240" w:lineRule="auto"/>
              <w:jc w:val="right"/>
            </w:pPr>
            <w:r w:rsidRPr="00027561">
              <w:t>1.27%</w:t>
            </w:r>
          </w:p>
        </w:tc>
      </w:tr>
      <w:tr w:rsidR="000A39C1" w:rsidRPr="00027561" w14:paraId="3613D7AE" w14:textId="77777777" w:rsidTr="00906998">
        <w:trPr>
          <w:trHeight w:val="283"/>
        </w:trPr>
        <w:tc>
          <w:tcPr>
            <w:tcW w:w="3695" w:type="dxa"/>
            <w:noWrap/>
            <w:hideMark/>
          </w:tcPr>
          <w:p w14:paraId="0235FD53" w14:textId="77777777" w:rsidR="000A39C1" w:rsidRPr="00027561" w:rsidRDefault="000A39C1" w:rsidP="00802D17">
            <w:pPr>
              <w:spacing w:line="240" w:lineRule="auto"/>
            </w:pPr>
            <w:r w:rsidRPr="00027561">
              <w:t>White, Non-Hispanic</w:t>
            </w:r>
          </w:p>
        </w:tc>
        <w:tc>
          <w:tcPr>
            <w:tcW w:w="2077" w:type="dxa"/>
            <w:noWrap/>
            <w:hideMark/>
          </w:tcPr>
          <w:p w14:paraId="6C440D13" w14:textId="275524D4" w:rsidR="000A39C1" w:rsidRPr="00027561" w:rsidRDefault="000A39C1" w:rsidP="009926D5">
            <w:pPr>
              <w:spacing w:line="240" w:lineRule="auto"/>
              <w:jc w:val="right"/>
            </w:pPr>
            <w:r w:rsidRPr="00027561">
              <w:t>572,513</w:t>
            </w:r>
          </w:p>
        </w:tc>
        <w:tc>
          <w:tcPr>
            <w:tcW w:w="1761" w:type="dxa"/>
            <w:noWrap/>
            <w:hideMark/>
          </w:tcPr>
          <w:p w14:paraId="09B68D64" w14:textId="4F33AC84" w:rsidR="000A39C1" w:rsidRPr="00027561" w:rsidRDefault="000A39C1" w:rsidP="009926D5">
            <w:pPr>
              <w:spacing w:line="240" w:lineRule="auto"/>
              <w:jc w:val="right"/>
            </w:pPr>
            <w:r w:rsidRPr="00027561">
              <w:t>7,163</w:t>
            </w:r>
          </w:p>
        </w:tc>
        <w:tc>
          <w:tcPr>
            <w:tcW w:w="1521" w:type="dxa"/>
            <w:noWrap/>
            <w:hideMark/>
          </w:tcPr>
          <w:p w14:paraId="3B5AE6B5" w14:textId="1CB896CC" w:rsidR="000A39C1" w:rsidRPr="00027561" w:rsidRDefault="000A39C1" w:rsidP="009926D5">
            <w:pPr>
              <w:spacing w:line="240" w:lineRule="auto"/>
              <w:jc w:val="right"/>
            </w:pPr>
            <w:r w:rsidRPr="00027561">
              <w:t>579,676</w:t>
            </w:r>
          </w:p>
        </w:tc>
        <w:tc>
          <w:tcPr>
            <w:tcW w:w="1635" w:type="dxa"/>
            <w:noWrap/>
            <w:hideMark/>
          </w:tcPr>
          <w:p w14:paraId="29517C21" w14:textId="77777777" w:rsidR="000A39C1" w:rsidRPr="00027561" w:rsidRDefault="000A39C1" w:rsidP="009926D5">
            <w:pPr>
              <w:spacing w:line="240" w:lineRule="auto"/>
              <w:jc w:val="right"/>
            </w:pPr>
            <w:r w:rsidRPr="00027561">
              <w:t>1.25%</w:t>
            </w:r>
          </w:p>
        </w:tc>
      </w:tr>
      <w:tr w:rsidR="000A39C1" w:rsidRPr="00027561" w14:paraId="310BF407" w14:textId="77777777" w:rsidTr="00906998">
        <w:trPr>
          <w:trHeight w:val="283"/>
        </w:trPr>
        <w:tc>
          <w:tcPr>
            <w:tcW w:w="3695" w:type="dxa"/>
            <w:shd w:val="clear" w:color="auto" w:fill="DEEAF6" w:themeFill="accent5" w:themeFillTint="33"/>
            <w:noWrap/>
            <w:hideMark/>
          </w:tcPr>
          <w:p w14:paraId="405FB28C" w14:textId="77777777" w:rsidR="000A39C1" w:rsidRPr="00027561" w:rsidRDefault="000A39C1" w:rsidP="00802D17">
            <w:pPr>
              <w:spacing w:line="240" w:lineRule="auto"/>
            </w:pPr>
            <w:r w:rsidRPr="00027561">
              <w:t>Students with Disabilities</w:t>
            </w:r>
          </w:p>
        </w:tc>
        <w:tc>
          <w:tcPr>
            <w:tcW w:w="2077" w:type="dxa"/>
            <w:shd w:val="clear" w:color="auto" w:fill="DEEAF6" w:themeFill="accent5" w:themeFillTint="33"/>
            <w:noWrap/>
            <w:hideMark/>
          </w:tcPr>
          <w:p w14:paraId="32517256" w14:textId="08729E41" w:rsidR="000A39C1" w:rsidRPr="00027561" w:rsidRDefault="000A39C1" w:rsidP="009926D5">
            <w:pPr>
              <w:spacing w:line="240" w:lineRule="auto"/>
              <w:jc w:val="right"/>
            </w:pPr>
            <w:r w:rsidRPr="00027561">
              <w:t>120,344</w:t>
            </w:r>
          </w:p>
        </w:tc>
        <w:tc>
          <w:tcPr>
            <w:tcW w:w="1761" w:type="dxa"/>
            <w:shd w:val="clear" w:color="auto" w:fill="DEEAF6" w:themeFill="accent5" w:themeFillTint="33"/>
            <w:noWrap/>
            <w:hideMark/>
          </w:tcPr>
          <w:p w14:paraId="799C2009" w14:textId="0C6E2DC1" w:rsidR="000A39C1" w:rsidRPr="00027561" w:rsidRDefault="000A39C1" w:rsidP="009926D5">
            <w:pPr>
              <w:spacing w:line="240" w:lineRule="auto"/>
              <w:jc w:val="right"/>
            </w:pPr>
            <w:r w:rsidRPr="00027561">
              <w:t>11,477</w:t>
            </w:r>
          </w:p>
        </w:tc>
        <w:tc>
          <w:tcPr>
            <w:tcW w:w="1521" w:type="dxa"/>
            <w:shd w:val="clear" w:color="auto" w:fill="DEEAF6" w:themeFill="accent5" w:themeFillTint="33"/>
            <w:noWrap/>
            <w:hideMark/>
          </w:tcPr>
          <w:p w14:paraId="7585EE74" w14:textId="707DDE42" w:rsidR="000A39C1" w:rsidRPr="00027561" w:rsidRDefault="000A39C1" w:rsidP="009926D5">
            <w:pPr>
              <w:spacing w:line="240" w:lineRule="auto"/>
              <w:jc w:val="right"/>
            </w:pPr>
            <w:r w:rsidRPr="00027561">
              <w:t>131,821</w:t>
            </w:r>
          </w:p>
        </w:tc>
        <w:tc>
          <w:tcPr>
            <w:tcW w:w="1635" w:type="dxa"/>
            <w:shd w:val="clear" w:color="auto" w:fill="DEEAF6" w:themeFill="accent5" w:themeFillTint="33"/>
            <w:noWrap/>
            <w:hideMark/>
          </w:tcPr>
          <w:p w14:paraId="2E19DBA4" w14:textId="77777777" w:rsidR="000A39C1" w:rsidRPr="00027561" w:rsidRDefault="000A39C1" w:rsidP="009926D5">
            <w:pPr>
              <w:spacing w:line="240" w:lineRule="auto"/>
              <w:jc w:val="right"/>
            </w:pPr>
            <w:r w:rsidRPr="00027561">
              <w:t>9.54%</w:t>
            </w:r>
          </w:p>
        </w:tc>
      </w:tr>
      <w:tr w:rsidR="000A39C1" w:rsidRPr="00027561" w14:paraId="14753FCC" w14:textId="77777777" w:rsidTr="00906998">
        <w:trPr>
          <w:trHeight w:val="283"/>
        </w:trPr>
        <w:tc>
          <w:tcPr>
            <w:tcW w:w="3695" w:type="dxa"/>
            <w:noWrap/>
            <w:hideMark/>
          </w:tcPr>
          <w:p w14:paraId="5D9F6821" w14:textId="77777777" w:rsidR="000A39C1" w:rsidRPr="00027561" w:rsidRDefault="000A39C1" w:rsidP="00802D17">
            <w:pPr>
              <w:spacing w:line="240" w:lineRule="auto"/>
            </w:pPr>
            <w:r w:rsidRPr="00027561">
              <w:t>Economically Disadvantaged</w:t>
            </w:r>
          </w:p>
        </w:tc>
        <w:tc>
          <w:tcPr>
            <w:tcW w:w="2077" w:type="dxa"/>
            <w:noWrap/>
            <w:hideMark/>
          </w:tcPr>
          <w:p w14:paraId="476AAAFB" w14:textId="302DD0CC" w:rsidR="000A39C1" w:rsidRPr="00027561" w:rsidRDefault="000A39C1" w:rsidP="009926D5">
            <w:pPr>
              <w:spacing w:line="240" w:lineRule="auto"/>
              <w:jc w:val="right"/>
            </w:pPr>
            <w:r w:rsidRPr="00027561">
              <w:t>399,926</w:t>
            </w:r>
          </w:p>
        </w:tc>
        <w:tc>
          <w:tcPr>
            <w:tcW w:w="1761" w:type="dxa"/>
            <w:noWrap/>
            <w:hideMark/>
          </w:tcPr>
          <w:p w14:paraId="622E35B9" w14:textId="79DE0ADE" w:rsidR="000A39C1" w:rsidRPr="00027561" w:rsidRDefault="000A39C1" w:rsidP="009926D5">
            <w:pPr>
              <w:spacing w:line="240" w:lineRule="auto"/>
              <w:jc w:val="right"/>
            </w:pPr>
            <w:r w:rsidRPr="00027561">
              <w:t>7,115</w:t>
            </w:r>
          </w:p>
        </w:tc>
        <w:tc>
          <w:tcPr>
            <w:tcW w:w="1521" w:type="dxa"/>
            <w:noWrap/>
            <w:hideMark/>
          </w:tcPr>
          <w:p w14:paraId="21CFF28B" w14:textId="27C47520" w:rsidR="000A39C1" w:rsidRPr="00027561" w:rsidRDefault="000A39C1" w:rsidP="009926D5">
            <w:pPr>
              <w:spacing w:line="240" w:lineRule="auto"/>
              <w:jc w:val="right"/>
            </w:pPr>
            <w:r w:rsidRPr="00027561">
              <w:t>407,041</w:t>
            </w:r>
          </w:p>
        </w:tc>
        <w:tc>
          <w:tcPr>
            <w:tcW w:w="1635" w:type="dxa"/>
            <w:noWrap/>
            <w:hideMark/>
          </w:tcPr>
          <w:p w14:paraId="41988D65" w14:textId="77777777" w:rsidR="000A39C1" w:rsidRPr="00027561" w:rsidRDefault="000A39C1" w:rsidP="009926D5">
            <w:pPr>
              <w:spacing w:line="240" w:lineRule="auto"/>
              <w:jc w:val="right"/>
            </w:pPr>
            <w:r w:rsidRPr="00027561">
              <w:t>1.78%</w:t>
            </w:r>
          </w:p>
        </w:tc>
      </w:tr>
      <w:tr w:rsidR="000A39C1" w:rsidRPr="00027561" w14:paraId="77B7C2C3" w14:textId="77777777" w:rsidTr="00906998">
        <w:trPr>
          <w:trHeight w:val="298"/>
        </w:trPr>
        <w:tc>
          <w:tcPr>
            <w:tcW w:w="3695" w:type="dxa"/>
            <w:shd w:val="clear" w:color="auto" w:fill="DEEAF6" w:themeFill="accent5" w:themeFillTint="33"/>
            <w:noWrap/>
            <w:hideMark/>
          </w:tcPr>
          <w:p w14:paraId="0A87A7AE" w14:textId="77777777" w:rsidR="000A39C1" w:rsidRPr="00027561" w:rsidRDefault="000A39C1" w:rsidP="00802D17">
            <w:pPr>
              <w:spacing w:line="240" w:lineRule="auto"/>
            </w:pPr>
            <w:r w:rsidRPr="00027561">
              <w:t>English Learners</w:t>
            </w:r>
          </w:p>
        </w:tc>
        <w:tc>
          <w:tcPr>
            <w:tcW w:w="2077" w:type="dxa"/>
            <w:shd w:val="clear" w:color="auto" w:fill="DEEAF6" w:themeFill="accent5" w:themeFillTint="33"/>
            <w:noWrap/>
            <w:hideMark/>
          </w:tcPr>
          <w:p w14:paraId="11387330" w14:textId="68AFE9E3" w:rsidR="000A39C1" w:rsidRPr="00027561" w:rsidRDefault="000A39C1" w:rsidP="009926D5">
            <w:pPr>
              <w:spacing w:line="240" w:lineRule="auto"/>
              <w:jc w:val="right"/>
            </w:pPr>
            <w:r w:rsidRPr="00027561">
              <w:t>25,201</w:t>
            </w:r>
          </w:p>
        </w:tc>
        <w:tc>
          <w:tcPr>
            <w:tcW w:w="1761" w:type="dxa"/>
            <w:shd w:val="clear" w:color="auto" w:fill="DEEAF6" w:themeFill="accent5" w:themeFillTint="33"/>
            <w:noWrap/>
            <w:hideMark/>
          </w:tcPr>
          <w:p w14:paraId="3DA7BC06" w14:textId="5653EAF9" w:rsidR="000A39C1" w:rsidRPr="00027561" w:rsidRDefault="000A39C1" w:rsidP="009926D5">
            <w:pPr>
              <w:spacing w:line="240" w:lineRule="auto"/>
              <w:jc w:val="right"/>
            </w:pPr>
            <w:r w:rsidRPr="00027561">
              <w:t>602</w:t>
            </w:r>
          </w:p>
        </w:tc>
        <w:tc>
          <w:tcPr>
            <w:tcW w:w="1521" w:type="dxa"/>
            <w:shd w:val="clear" w:color="auto" w:fill="DEEAF6" w:themeFill="accent5" w:themeFillTint="33"/>
            <w:noWrap/>
            <w:hideMark/>
          </w:tcPr>
          <w:p w14:paraId="66E505DF" w14:textId="36CE1CE0" w:rsidR="000A39C1" w:rsidRPr="00027561" w:rsidRDefault="000A39C1" w:rsidP="009926D5">
            <w:pPr>
              <w:spacing w:line="240" w:lineRule="auto"/>
              <w:jc w:val="right"/>
            </w:pPr>
            <w:r w:rsidRPr="00027561">
              <w:t>25,803</w:t>
            </w:r>
          </w:p>
        </w:tc>
        <w:tc>
          <w:tcPr>
            <w:tcW w:w="1635" w:type="dxa"/>
            <w:shd w:val="clear" w:color="auto" w:fill="DEEAF6" w:themeFill="accent5" w:themeFillTint="33"/>
            <w:noWrap/>
            <w:hideMark/>
          </w:tcPr>
          <w:p w14:paraId="7B1F3817" w14:textId="77777777" w:rsidR="000A39C1" w:rsidRPr="00027561" w:rsidRDefault="000A39C1" w:rsidP="009926D5">
            <w:pPr>
              <w:spacing w:line="240" w:lineRule="auto"/>
              <w:jc w:val="right"/>
            </w:pPr>
            <w:r w:rsidRPr="00027561">
              <w:t>2.39%</w:t>
            </w:r>
          </w:p>
        </w:tc>
      </w:tr>
      <w:bookmarkEnd w:id="19"/>
    </w:tbl>
    <w:p w14:paraId="0B27EA39" w14:textId="77777777" w:rsidR="000A39C1" w:rsidRDefault="000A39C1" w:rsidP="000A39C1">
      <w:pPr>
        <w:autoSpaceDE w:val="0"/>
        <w:autoSpaceDN w:val="0"/>
        <w:adjustRightInd w:val="0"/>
        <w:spacing w:after="120" w:line="240" w:lineRule="auto"/>
        <w:rPr>
          <w:b/>
          <w:bCs/>
          <w:color w:val="000000" w:themeColor="text1"/>
        </w:rPr>
      </w:pPr>
    </w:p>
    <w:p w14:paraId="75C24960" w14:textId="05CA873A" w:rsidR="000A39C1" w:rsidRDefault="000A39C1" w:rsidP="000A39C1">
      <w:pPr>
        <w:autoSpaceDE w:val="0"/>
        <w:autoSpaceDN w:val="0"/>
        <w:adjustRightInd w:val="0"/>
        <w:spacing w:after="120" w:line="240" w:lineRule="auto"/>
        <w:rPr>
          <w:b/>
          <w:bCs/>
          <w:color w:val="000000" w:themeColor="text1"/>
        </w:rPr>
      </w:pPr>
      <w:r>
        <w:rPr>
          <w:b/>
          <w:bCs/>
          <w:color w:val="000000" w:themeColor="text1"/>
        </w:rPr>
        <w:t xml:space="preserve">Table 2B: 2020-2021 Participation in </w:t>
      </w:r>
      <w:r w:rsidR="00F32E5B">
        <w:rPr>
          <w:b/>
          <w:bCs/>
          <w:color w:val="000000" w:themeColor="text1"/>
        </w:rPr>
        <w:t>the Mathematic</w:t>
      </w:r>
      <w:r w:rsidR="0024436B">
        <w:rPr>
          <w:b/>
          <w:bCs/>
          <w:color w:val="000000" w:themeColor="text1"/>
        </w:rPr>
        <w:t xml:space="preserve">s </w:t>
      </w:r>
      <w:r>
        <w:rPr>
          <w:b/>
          <w:bCs/>
          <w:color w:val="000000" w:themeColor="text1"/>
        </w:rPr>
        <w:t>Alternate Assessment (Grades 3-8 and High School)</w:t>
      </w:r>
    </w:p>
    <w:tbl>
      <w:tblPr>
        <w:tblStyle w:val="TableGrid1"/>
        <w:tblW w:w="0" w:type="auto"/>
        <w:tblLook w:val="04A0" w:firstRow="1" w:lastRow="0" w:firstColumn="1" w:lastColumn="0" w:noHBand="0" w:noVBand="1"/>
        <w:tblCaption w:val="2020-2021 Participation in the Mathematics Alternate Assessment (Grades 3-8 &amp; high school)"/>
        <w:tblDescription w:val="This graph shows the number of students, broken down into subgroup, who participated in the mathematics alternate assessment. Data shows the number of students who took the standard mathematics assessment, the number of students who took the mathematics alternate assessment, all students tested and the percent of students alternately assessed. Overall in mathematics, 810, 244 students were tested, 11,468 students took the alternate assessment, 821,712 total students were tested, and 1.4% of the students were alternately assessed. "/>
      </w:tblPr>
      <w:tblGrid>
        <w:gridCol w:w="3707"/>
        <w:gridCol w:w="2083"/>
        <w:gridCol w:w="1767"/>
        <w:gridCol w:w="1525"/>
        <w:gridCol w:w="1640"/>
      </w:tblGrid>
      <w:tr w:rsidR="00A8410F" w:rsidRPr="00027561" w14:paraId="152993D3" w14:textId="77777777" w:rsidTr="00F32E5B">
        <w:trPr>
          <w:trHeight w:val="1441"/>
        </w:trPr>
        <w:tc>
          <w:tcPr>
            <w:tcW w:w="3707" w:type="dxa"/>
            <w:shd w:val="clear" w:color="auto" w:fill="9CC2E5" w:themeFill="accent5" w:themeFillTint="99"/>
            <w:noWrap/>
            <w:vAlign w:val="center"/>
            <w:hideMark/>
          </w:tcPr>
          <w:p w14:paraId="477C6D52" w14:textId="77777777" w:rsidR="00A8410F" w:rsidRPr="00027561" w:rsidRDefault="00A8410F" w:rsidP="00D17077">
            <w:pPr>
              <w:spacing w:line="240" w:lineRule="auto"/>
              <w:jc w:val="center"/>
              <w:rPr>
                <w:b/>
                <w:bCs/>
              </w:rPr>
            </w:pPr>
            <w:bookmarkStart w:id="21" w:name="Mathematics_Alternate_Assessment"/>
            <w:r w:rsidRPr="00027561">
              <w:rPr>
                <w:b/>
                <w:bCs/>
              </w:rPr>
              <w:t>Subgroup</w:t>
            </w:r>
          </w:p>
        </w:tc>
        <w:tc>
          <w:tcPr>
            <w:tcW w:w="2083" w:type="dxa"/>
            <w:shd w:val="clear" w:color="auto" w:fill="9CC2E5" w:themeFill="accent5" w:themeFillTint="99"/>
            <w:vAlign w:val="center"/>
            <w:hideMark/>
          </w:tcPr>
          <w:p w14:paraId="0B7ABBCF" w14:textId="77777777" w:rsidR="00A8410F" w:rsidRPr="00027561" w:rsidRDefault="00A8410F" w:rsidP="00D17077">
            <w:pPr>
              <w:spacing w:line="240" w:lineRule="auto"/>
              <w:jc w:val="center"/>
              <w:rPr>
                <w:b/>
                <w:bCs/>
              </w:rPr>
            </w:pPr>
            <w:r w:rsidRPr="00027561">
              <w:rPr>
                <w:b/>
                <w:bCs/>
              </w:rPr>
              <w:t>Number of Students Who Took the Standard Assessment</w:t>
            </w:r>
          </w:p>
        </w:tc>
        <w:tc>
          <w:tcPr>
            <w:tcW w:w="1767" w:type="dxa"/>
            <w:shd w:val="clear" w:color="auto" w:fill="9CC2E5" w:themeFill="accent5" w:themeFillTint="99"/>
            <w:vAlign w:val="center"/>
            <w:hideMark/>
          </w:tcPr>
          <w:p w14:paraId="7E839F94" w14:textId="77777777" w:rsidR="00A8410F" w:rsidRPr="00027561" w:rsidRDefault="00A8410F" w:rsidP="00D17077">
            <w:pPr>
              <w:spacing w:line="240" w:lineRule="auto"/>
              <w:jc w:val="center"/>
              <w:rPr>
                <w:b/>
                <w:bCs/>
              </w:rPr>
            </w:pPr>
            <w:r w:rsidRPr="00027561">
              <w:rPr>
                <w:b/>
                <w:bCs/>
              </w:rPr>
              <w:t>Number of Students Who Took the Alternate Assessment</w:t>
            </w:r>
          </w:p>
        </w:tc>
        <w:tc>
          <w:tcPr>
            <w:tcW w:w="1525" w:type="dxa"/>
            <w:shd w:val="clear" w:color="auto" w:fill="9CC2E5" w:themeFill="accent5" w:themeFillTint="99"/>
            <w:vAlign w:val="center"/>
            <w:hideMark/>
          </w:tcPr>
          <w:p w14:paraId="1A8DF77D" w14:textId="77777777" w:rsidR="00A8410F" w:rsidRPr="00027561" w:rsidRDefault="00A8410F" w:rsidP="00D17077">
            <w:pPr>
              <w:spacing w:line="240" w:lineRule="auto"/>
              <w:jc w:val="center"/>
              <w:rPr>
                <w:b/>
                <w:bCs/>
              </w:rPr>
            </w:pPr>
            <w:r w:rsidRPr="00027561">
              <w:rPr>
                <w:b/>
                <w:bCs/>
              </w:rPr>
              <w:t>All Students Tested</w:t>
            </w:r>
          </w:p>
        </w:tc>
        <w:tc>
          <w:tcPr>
            <w:tcW w:w="1640" w:type="dxa"/>
            <w:shd w:val="clear" w:color="auto" w:fill="9CC2E5" w:themeFill="accent5" w:themeFillTint="99"/>
            <w:vAlign w:val="center"/>
            <w:hideMark/>
          </w:tcPr>
          <w:p w14:paraId="535C40AA" w14:textId="77777777" w:rsidR="00A8410F" w:rsidRPr="00027561" w:rsidRDefault="00A8410F" w:rsidP="00D17077">
            <w:pPr>
              <w:spacing w:line="240" w:lineRule="auto"/>
              <w:jc w:val="center"/>
              <w:rPr>
                <w:b/>
                <w:bCs/>
              </w:rPr>
            </w:pPr>
            <w:r w:rsidRPr="00027561">
              <w:rPr>
                <w:b/>
                <w:bCs/>
              </w:rPr>
              <w:t>Percent Alternately Assessed</w:t>
            </w:r>
          </w:p>
        </w:tc>
      </w:tr>
      <w:tr w:rsidR="000A39C1" w:rsidRPr="00027561" w14:paraId="5A95277D" w14:textId="77777777" w:rsidTr="00F32E5B">
        <w:trPr>
          <w:trHeight w:val="299"/>
        </w:trPr>
        <w:tc>
          <w:tcPr>
            <w:tcW w:w="3707" w:type="dxa"/>
            <w:noWrap/>
            <w:hideMark/>
          </w:tcPr>
          <w:p w14:paraId="24C70578" w14:textId="77777777" w:rsidR="000A39C1" w:rsidRPr="00027561" w:rsidRDefault="000A39C1" w:rsidP="00802D17">
            <w:pPr>
              <w:spacing w:line="240" w:lineRule="auto"/>
              <w:rPr>
                <w:b/>
                <w:bCs/>
              </w:rPr>
            </w:pPr>
            <w:r w:rsidRPr="00027561">
              <w:rPr>
                <w:b/>
                <w:bCs/>
              </w:rPr>
              <w:t>All Students</w:t>
            </w:r>
          </w:p>
        </w:tc>
        <w:tc>
          <w:tcPr>
            <w:tcW w:w="2083" w:type="dxa"/>
            <w:noWrap/>
            <w:hideMark/>
          </w:tcPr>
          <w:p w14:paraId="02299D12" w14:textId="469F81C1" w:rsidR="000A39C1" w:rsidRPr="00027561" w:rsidRDefault="000A39C1" w:rsidP="009926D5">
            <w:pPr>
              <w:spacing w:line="240" w:lineRule="auto"/>
              <w:jc w:val="right"/>
              <w:rPr>
                <w:b/>
                <w:bCs/>
              </w:rPr>
            </w:pPr>
            <w:r w:rsidRPr="00027561">
              <w:rPr>
                <w:b/>
                <w:bCs/>
              </w:rPr>
              <w:t>810,244</w:t>
            </w:r>
          </w:p>
        </w:tc>
        <w:tc>
          <w:tcPr>
            <w:tcW w:w="1767" w:type="dxa"/>
            <w:noWrap/>
            <w:hideMark/>
          </w:tcPr>
          <w:p w14:paraId="117B722A" w14:textId="784B117A" w:rsidR="000A39C1" w:rsidRPr="00027561" w:rsidRDefault="000A39C1" w:rsidP="009926D5">
            <w:pPr>
              <w:spacing w:line="240" w:lineRule="auto"/>
              <w:jc w:val="right"/>
              <w:rPr>
                <w:b/>
                <w:bCs/>
              </w:rPr>
            </w:pPr>
            <w:r w:rsidRPr="00027561">
              <w:rPr>
                <w:b/>
                <w:bCs/>
              </w:rPr>
              <w:t>11,468</w:t>
            </w:r>
          </w:p>
        </w:tc>
        <w:tc>
          <w:tcPr>
            <w:tcW w:w="1525" w:type="dxa"/>
            <w:noWrap/>
            <w:hideMark/>
          </w:tcPr>
          <w:p w14:paraId="47D778B2" w14:textId="2229DF03" w:rsidR="000A39C1" w:rsidRPr="00027561" w:rsidRDefault="000A39C1" w:rsidP="009926D5">
            <w:pPr>
              <w:spacing w:line="240" w:lineRule="auto"/>
              <w:jc w:val="right"/>
              <w:rPr>
                <w:b/>
                <w:bCs/>
              </w:rPr>
            </w:pPr>
            <w:r w:rsidRPr="00027561">
              <w:rPr>
                <w:b/>
                <w:bCs/>
              </w:rPr>
              <w:t>821,712</w:t>
            </w:r>
          </w:p>
        </w:tc>
        <w:tc>
          <w:tcPr>
            <w:tcW w:w="1640" w:type="dxa"/>
            <w:noWrap/>
            <w:hideMark/>
          </w:tcPr>
          <w:p w14:paraId="303E216D" w14:textId="328541B5" w:rsidR="000A39C1" w:rsidRPr="00027561" w:rsidRDefault="000A39C1" w:rsidP="20205FD2">
            <w:pPr>
              <w:spacing w:line="240" w:lineRule="auto"/>
              <w:jc w:val="right"/>
              <w:rPr>
                <w:b/>
                <w:bCs/>
              </w:rPr>
            </w:pPr>
            <w:r w:rsidRPr="00027561">
              <w:rPr>
                <w:b/>
                <w:bCs/>
              </w:rPr>
              <w:t>1.40%</w:t>
            </w:r>
          </w:p>
        </w:tc>
      </w:tr>
      <w:tr w:rsidR="000A39C1" w:rsidRPr="00027561" w14:paraId="53A838AD" w14:textId="77777777" w:rsidTr="00F32E5B">
        <w:trPr>
          <w:trHeight w:val="285"/>
        </w:trPr>
        <w:tc>
          <w:tcPr>
            <w:tcW w:w="3707" w:type="dxa"/>
            <w:shd w:val="clear" w:color="auto" w:fill="DEEAF6" w:themeFill="accent5" w:themeFillTint="33"/>
            <w:noWrap/>
            <w:hideMark/>
          </w:tcPr>
          <w:p w14:paraId="002BD408" w14:textId="77777777" w:rsidR="000A39C1" w:rsidRPr="00027561" w:rsidRDefault="000A39C1" w:rsidP="00802D17">
            <w:pPr>
              <w:spacing w:line="240" w:lineRule="auto"/>
            </w:pPr>
            <w:r w:rsidRPr="00027561">
              <w:t>American Indian or Alaskan Native</w:t>
            </w:r>
          </w:p>
        </w:tc>
        <w:tc>
          <w:tcPr>
            <w:tcW w:w="2083" w:type="dxa"/>
            <w:shd w:val="clear" w:color="auto" w:fill="DEEAF6" w:themeFill="accent5" w:themeFillTint="33"/>
            <w:noWrap/>
            <w:vAlign w:val="center"/>
            <w:hideMark/>
          </w:tcPr>
          <w:p w14:paraId="2C71EC68" w14:textId="7041ACB1" w:rsidR="000A39C1" w:rsidRPr="00027561" w:rsidRDefault="000A39C1" w:rsidP="009926D5">
            <w:pPr>
              <w:spacing w:line="240" w:lineRule="auto"/>
              <w:jc w:val="right"/>
            </w:pPr>
            <w:r w:rsidRPr="00027561">
              <w:t>923</w:t>
            </w:r>
          </w:p>
        </w:tc>
        <w:tc>
          <w:tcPr>
            <w:tcW w:w="1767" w:type="dxa"/>
            <w:shd w:val="clear" w:color="auto" w:fill="DEEAF6" w:themeFill="accent5" w:themeFillTint="33"/>
            <w:noWrap/>
            <w:vAlign w:val="center"/>
            <w:hideMark/>
          </w:tcPr>
          <w:p w14:paraId="29871FC9" w14:textId="72EA7991" w:rsidR="000A39C1" w:rsidRPr="00027561" w:rsidRDefault="000A39C1" w:rsidP="009926D5">
            <w:pPr>
              <w:spacing w:line="240" w:lineRule="auto"/>
              <w:jc w:val="right"/>
            </w:pPr>
            <w:r w:rsidRPr="00027561">
              <w:t>14</w:t>
            </w:r>
          </w:p>
        </w:tc>
        <w:tc>
          <w:tcPr>
            <w:tcW w:w="1525" w:type="dxa"/>
            <w:shd w:val="clear" w:color="auto" w:fill="DEEAF6" w:themeFill="accent5" w:themeFillTint="33"/>
            <w:noWrap/>
            <w:vAlign w:val="center"/>
            <w:hideMark/>
          </w:tcPr>
          <w:p w14:paraId="3FDB2741" w14:textId="3B5D3F72" w:rsidR="000A39C1" w:rsidRPr="00027561" w:rsidRDefault="000A39C1" w:rsidP="009926D5">
            <w:pPr>
              <w:spacing w:line="240" w:lineRule="auto"/>
              <w:jc w:val="right"/>
            </w:pPr>
            <w:r w:rsidRPr="00027561">
              <w:t>937</w:t>
            </w:r>
          </w:p>
        </w:tc>
        <w:tc>
          <w:tcPr>
            <w:tcW w:w="1640" w:type="dxa"/>
            <w:shd w:val="clear" w:color="auto" w:fill="DEEAF6" w:themeFill="accent5" w:themeFillTint="33"/>
            <w:noWrap/>
            <w:vAlign w:val="center"/>
            <w:hideMark/>
          </w:tcPr>
          <w:p w14:paraId="557DBC28" w14:textId="77777777" w:rsidR="000A39C1" w:rsidRPr="00027561" w:rsidRDefault="000A39C1" w:rsidP="009926D5">
            <w:pPr>
              <w:spacing w:line="240" w:lineRule="auto"/>
              <w:jc w:val="right"/>
            </w:pPr>
            <w:r w:rsidRPr="00027561">
              <w:t>1.52%</w:t>
            </w:r>
          </w:p>
        </w:tc>
      </w:tr>
      <w:tr w:rsidR="000A39C1" w:rsidRPr="00027561" w14:paraId="760C885B" w14:textId="77777777" w:rsidTr="00F32E5B">
        <w:trPr>
          <w:trHeight w:val="285"/>
        </w:trPr>
        <w:tc>
          <w:tcPr>
            <w:tcW w:w="3707" w:type="dxa"/>
            <w:noWrap/>
            <w:hideMark/>
          </w:tcPr>
          <w:p w14:paraId="621E56D5" w14:textId="77777777" w:rsidR="000A39C1" w:rsidRPr="00027561" w:rsidRDefault="000A39C1" w:rsidP="00802D17">
            <w:pPr>
              <w:spacing w:line="240" w:lineRule="auto"/>
            </w:pPr>
            <w:r w:rsidRPr="00027561">
              <w:t>Asian or Pacific Islander</w:t>
            </w:r>
          </w:p>
        </w:tc>
        <w:tc>
          <w:tcPr>
            <w:tcW w:w="2083" w:type="dxa"/>
            <w:noWrap/>
            <w:hideMark/>
          </w:tcPr>
          <w:p w14:paraId="40F61068" w14:textId="228AEB81" w:rsidR="000A39C1" w:rsidRPr="00027561" w:rsidRDefault="000A39C1" w:rsidP="009926D5">
            <w:pPr>
              <w:spacing w:line="240" w:lineRule="auto"/>
              <w:jc w:val="right"/>
            </w:pPr>
            <w:r w:rsidRPr="00027561">
              <w:t>21,254</w:t>
            </w:r>
          </w:p>
        </w:tc>
        <w:tc>
          <w:tcPr>
            <w:tcW w:w="1767" w:type="dxa"/>
            <w:noWrap/>
            <w:hideMark/>
          </w:tcPr>
          <w:p w14:paraId="3AE03641" w14:textId="2846A072" w:rsidR="000A39C1" w:rsidRPr="00027561" w:rsidRDefault="000A39C1" w:rsidP="009926D5">
            <w:pPr>
              <w:spacing w:line="240" w:lineRule="auto"/>
              <w:jc w:val="right"/>
            </w:pPr>
            <w:r w:rsidRPr="00027561">
              <w:t>260</w:t>
            </w:r>
          </w:p>
        </w:tc>
        <w:tc>
          <w:tcPr>
            <w:tcW w:w="1525" w:type="dxa"/>
            <w:noWrap/>
            <w:hideMark/>
          </w:tcPr>
          <w:p w14:paraId="468E3899" w14:textId="0357CB97" w:rsidR="000A39C1" w:rsidRPr="00027561" w:rsidRDefault="000A39C1" w:rsidP="009926D5">
            <w:pPr>
              <w:spacing w:line="240" w:lineRule="auto"/>
              <w:jc w:val="right"/>
            </w:pPr>
            <w:r w:rsidRPr="00027561">
              <w:t>21,514</w:t>
            </w:r>
          </w:p>
        </w:tc>
        <w:tc>
          <w:tcPr>
            <w:tcW w:w="1640" w:type="dxa"/>
            <w:noWrap/>
            <w:hideMark/>
          </w:tcPr>
          <w:p w14:paraId="591E2F61" w14:textId="77777777" w:rsidR="000A39C1" w:rsidRPr="00027561" w:rsidRDefault="000A39C1" w:rsidP="009926D5">
            <w:pPr>
              <w:spacing w:line="240" w:lineRule="auto"/>
              <w:jc w:val="right"/>
            </w:pPr>
            <w:r w:rsidRPr="00027561">
              <w:t>1.22%</w:t>
            </w:r>
          </w:p>
        </w:tc>
      </w:tr>
      <w:tr w:rsidR="000A39C1" w:rsidRPr="00027561" w14:paraId="3B236019" w14:textId="77777777" w:rsidTr="00F32E5B">
        <w:trPr>
          <w:trHeight w:val="285"/>
        </w:trPr>
        <w:tc>
          <w:tcPr>
            <w:tcW w:w="3707" w:type="dxa"/>
            <w:shd w:val="clear" w:color="auto" w:fill="DEEAF6" w:themeFill="accent5" w:themeFillTint="33"/>
            <w:noWrap/>
            <w:hideMark/>
          </w:tcPr>
          <w:p w14:paraId="50D2F40C" w14:textId="77777777" w:rsidR="000A39C1" w:rsidRPr="00027561" w:rsidRDefault="000A39C1" w:rsidP="00802D17">
            <w:pPr>
              <w:spacing w:line="240" w:lineRule="auto"/>
            </w:pPr>
            <w:r w:rsidRPr="00027561">
              <w:t>Black, Non-Hispanic</w:t>
            </w:r>
          </w:p>
        </w:tc>
        <w:tc>
          <w:tcPr>
            <w:tcW w:w="2083" w:type="dxa"/>
            <w:shd w:val="clear" w:color="auto" w:fill="DEEAF6" w:themeFill="accent5" w:themeFillTint="33"/>
            <w:noWrap/>
            <w:hideMark/>
          </w:tcPr>
          <w:p w14:paraId="47E95B35" w14:textId="4679683D" w:rsidR="000A39C1" w:rsidRPr="00027561" w:rsidRDefault="000A39C1" w:rsidP="009926D5">
            <w:pPr>
              <w:spacing w:line="240" w:lineRule="auto"/>
              <w:jc w:val="right"/>
            </w:pPr>
            <w:r w:rsidRPr="00027561">
              <w:t>125,697</w:t>
            </w:r>
          </w:p>
        </w:tc>
        <w:tc>
          <w:tcPr>
            <w:tcW w:w="1767" w:type="dxa"/>
            <w:shd w:val="clear" w:color="auto" w:fill="DEEAF6" w:themeFill="accent5" w:themeFillTint="33"/>
            <w:noWrap/>
            <w:hideMark/>
          </w:tcPr>
          <w:p w14:paraId="5E5CDAD7" w14:textId="3885F721" w:rsidR="000A39C1" w:rsidRPr="00027561" w:rsidRDefault="000A39C1" w:rsidP="009926D5">
            <w:pPr>
              <w:spacing w:line="240" w:lineRule="auto"/>
              <w:jc w:val="right"/>
            </w:pPr>
            <w:r w:rsidRPr="00027561">
              <w:t>2,699</w:t>
            </w:r>
          </w:p>
        </w:tc>
        <w:tc>
          <w:tcPr>
            <w:tcW w:w="1525" w:type="dxa"/>
            <w:shd w:val="clear" w:color="auto" w:fill="DEEAF6" w:themeFill="accent5" w:themeFillTint="33"/>
            <w:noWrap/>
            <w:hideMark/>
          </w:tcPr>
          <w:p w14:paraId="2B445B19" w14:textId="5A2A04CB" w:rsidR="000A39C1" w:rsidRPr="00027561" w:rsidRDefault="000A39C1" w:rsidP="009926D5">
            <w:pPr>
              <w:spacing w:line="240" w:lineRule="auto"/>
              <w:jc w:val="right"/>
            </w:pPr>
            <w:r w:rsidRPr="00027561">
              <w:t>128,396</w:t>
            </w:r>
          </w:p>
        </w:tc>
        <w:tc>
          <w:tcPr>
            <w:tcW w:w="1640" w:type="dxa"/>
            <w:shd w:val="clear" w:color="auto" w:fill="DEEAF6" w:themeFill="accent5" w:themeFillTint="33"/>
            <w:noWrap/>
            <w:hideMark/>
          </w:tcPr>
          <w:p w14:paraId="7867A49F" w14:textId="77777777" w:rsidR="000A39C1" w:rsidRPr="00027561" w:rsidRDefault="000A39C1" w:rsidP="009926D5">
            <w:pPr>
              <w:spacing w:line="240" w:lineRule="auto"/>
              <w:jc w:val="right"/>
            </w:pPr>
            <w:r w:rsidRPr="00027561">
              <w:t>2.15%</w:t>
            </w:r>
          </w:p>
        </w:tc>
      </w:tr>
      <w:tr w:rsidR="000A39C1" w:rsidRPr="00027561" w14:paraId="5828810D" w14:textId="77777777" w:rsidTr="00F32E5B">
        <w:trPr>
          <w:trHeight w:val="285"/>
        </w:trPr>
        <w:tc>
          <w:tcPr>
            <w:tcW w:w="3707" w:type="dxa"/>
            <w:noWrap/>
            <w:hideMark/>
          </w:tcPr>
          <w:p w14:paraId="11CFDA08" w14:textId="77777777" w:rsidR="000A39C1" w:rsidRPr="00027561" w:rsidRDefault="000A39C1" w:rsidP="00802D17">
            <w:pPr>
              <w:spacing w:line="240" w:lineRule="auto"/>
            </w:pPr>
            <w:r w:rsidRPr="00027561">
              <w:t>Hispanic</w:t>
            </w:r>
          </w:p>
        </w:tc>
        <w:tc>
          <w:tcPr>
            <w:tcW w:w="2083" w:type="dxa"/>
            <w:noWrap/>
            <w:hideMark/>
          </w:tcPr>
          <w:p w14:paraId="6DEC29EA" w14:textId="3AA0C4BA" w:rsidR="000A39C1" w:rsidRPr="00027561" w:rsidRDefault="000A39C1" w:rsidP="009926D5">
            <w:pPr>
              <w:spacing w:line="240" w:lineRule="auto"/>
              <w:jc w:val="right"/>
            </w:pPr>
            <w:r w:rsidRPr="00027561">
              <w:t>54,512</w:t>
            </w:r>
          </w:p>
        </w:tc>
        <w:tc>
          <w:tcPr>
            <w:tcW w:w="1767" w:type="dxa"/>
            <w:noWrap/>
            <w:hideMark/>
          </w:tcPr>
          <w:p w14:paraId="1810DB04" w14:textId="06666BEF" w:rsidR="000A39C1" w:rsidRPr="00027561" w:rsidRDefault="000A39C1" w:rsidP="009926D5">
            <w:pPr>
              <w:spacing w:line="240" w:lineRule="auto"/>
              <w:jc w:val="right"/>
            </w:pPr>
            <w:r w:rsidRPr="00027561">
              <w:t>733</w:t>
            </w:r>
          </w:p>
        </w:tc>
        <w:tc>
          <w:tcPr>
            <w:tcW w:w="1525" w:type="dxa"/>
            <w:noWrap/>
            <w:hideMark/>
          </w:tcPr>
          <w:p w14:paraId="59AED63C" w14:textId="1906CEA5" w:rsidR="000A39C1" w:rsidRPr="00027561" w:rsidRDefault="000A39C1" w:rsidP="009926D5">
            <w:pPr>
              <w:spacing w:line="240" w:lineRule="auto"/>
              <w:jc w:val="right"/>
            </w:pPr>
            <w:r w:rsidRPr="00027561">
              <w:t>55,245</w:t>
            </w:r>
          </w:p>
        </w:tc>
        <w:tc>
          <w:tcPr>
            <w:tcW w:w="1640" w:type="dxa"/>
            <w:noWrap/>
            <w:hideMark/>
          </w:tcPr>
          <w:p w14:paraId="235D94F7" w14:textId="77777777" w:rsidR="000A39C1" w:rsidRPr="00027561" w:rsidRDefault="000A39C1" w:rsidP="009926D5">
            <w:pPr>
              <w:spacing w:line="240" w:lineRule="auto"/>
              <w:jc w:val="right"/>
            </w:pPr>
            <w:r w:rsidRPr="00027561">
              <w:t>1.34%</w:t>
            </w:r>
          </w:p>
        </w:tc>
      </w:tr>
      <w:tr w:rsidR="000A39C1" w:rsidRPr="00027561" w14:paraId="1026F43D" w14:textId="77777777" w:rsidTr="00F32E5B">
        <w:trPr>
          <w:trHeight w:val="285"/>
        </w:trPr>
        <w:tc>
          <w:tcPr>
            <w:tcW w:w="3707" w:type="dxa"/>
            <w:shd w:val="clear" w:color="auto" w:fill="DEEAF6" w:themeFill="accent5" w:themeFillTint="33"/>
            <w:noWrap/>
            <w:hideMark/>
          </w:tcPr>
          <w:p w14:paraId="7F92ADF5" w14:textId="77777777" w:rsidR="000A39C1" w:rsidRPr="00027561" w:rsidRDefault="000A39C1" w:rsidP="00802D17">
            <w:pPr>
              <w:spacing w:line="240" w:lineRule="auto"/>
            </w:pPr>
            <w:r w:rsidRPr="00027561">
              <w:lastRenderedPageBreak/>
              <w:t>Multiracial</w:t>
            </w:r>
          </w:p>
        </w:tc>
        <w:tc>
          <w:tcPr>
            <w:tcW w:w="2083" w:type="dxa"/>
            <w:shd w:val="clear" w:color="auto" w:fill="DEEAF6" w:themeFill="accent5" w:themeFillTint="33"/>
            <w:noWrap/>
            <w:hideMark/>
          </w:tcPr>
          <w:p w14:paraId="39287B74" w14:textId="44A7E1DF" w:rsidR="000A39C1" w:rsidRPr="00027561" w:rsidRDefault="000A39C1" w:rsidP="009926D5">
            <w:pPr>
              <w:spacing w:line="240" w:lineRule="auto"/>
              <w:jc w:val="right"/>
            </w:pPr>
            <w:r w:rsidRPr="00027561">
              <w:t>45,973</w:t>
            </w:r>
          </w:p>
        </w:tc>
        <w:tc>
          <w:tcPr>
            <w:tcW w:w="1767" w:type="dxa"/>
            <w:shd w:val="clear" w:color="auto" w:fill="DEEAF6" w:themeFill="accent5" w:themeFillTint="33"/>
            <w:noWrap/>
            <w:hideMark/>
          </w:tcPr>
          <w:p w14:paraId="6114D6E6" w14:textId="2247531E" w:rsidR="000A39C1" w:rsidRPr="00027561" w:rsidRDefault="000A39C1" w:rsidP="009926D5">
            <w:pPr>
              <w:spacing w:line="240" w:lineRule="auto"/>
              <w:jc w:val="right"/>
            </w:pPr>
            <w:r w:rsidRPr="00027561">
              <w:t>606</w:t>
            </w:r>
          </w:p>
        </w:tc>
        <w:tc>
          <w:tcPr>
            <w:tcW w:w="1525" w:type="dxa"/>
            <w:shd w:val="clear" w:color="auto" w:fill="DEEAF6" w:themeFill="accent5" w:themeFillTint="33"/>
            <w:noWrap/>
            <w:hideMark/>
          </w:tcPr>
          <w:p w14:paraId="77851383" w14:textId="35323CD3" w:rsidR="000A39C1" w:rsidRPr="00027561" w:rsidRDefault="000A39C1" w:rsidP="009926D5">
            <w:pPr>
              <w:spacing w:line="240" w:lineRule="auto"/>
              <w:jc w:val="right"/>
            </w:pPr>
            <w:r w:rsidRPr="00027561">
              <w:t>46,579</w:t>
            </w:r>
          </w:p>
        </w:tc>
        <w:tc>
          <w:tcPr>
            <w:tcW w:w="1640" w:type="dxa"/>
            <w:shd w:val="clear" w:color="auto" w:fill="DEEAF6" w:themeFill="accent5" w:themeFillTint="33"/>
            <w:noWrap/>
            <w:hideMark/>
          </w:tcPr>
          <w:p w14:paraId="474A8040" w14:textId="77777777" w:rsidR="000A39C1" w:rsidRPr="00027561" w:rsidRDefault="000A39C1" w:rsidP="009926D5">
            <w:pPr>
              <w:spacing w:line="240" w:lineRule="auto"/>
              <w:jc w:val="right"/>
            </w:pPr>
            <w:r w:rsidRPr="00027561">
              <w:t>1.32%</w:t>
            </w:r>
          </w:p>
        </w:tc>
      </w:tr>
      <w:tr w:rsidR="000A39C1" w:rsidRPr="00027561" w14:paraId="3C9A6C23" w14:textId="77777777" w:rsidTr="00F32E5B">
        <w:trPr>
          <w:trHeight w:val="285"/>
        </w:trPr>
        <w:tc>
          <w:tcPr>
            <w:tcW w:w="3707" w:type="dxa"/>
            <w:noWrap/>
            <w:hideMark/>
          </w:tcPr>
          <w:p w14:paraId="2F1C3257" w14:textId="77777777" w:rsidR="000A39C1" w:rsidRPr="00027561" w:rsidRDefault="000A39C1" w:rsidP="00802D17">
            <w:pPr>
              <w:spacing w:line="240" w:lineRule="auto"/>
            </w:pPr>
            <w:r w:rsidRPr="00027561">
              <w:t>White, Non-Hispanic</w:t>
            </w:r>
          </w:p>
        </w:tc>
        <w:tc>
          <w:tcPr>
            <w:tcW w:w="2083" w:type="dxa"/>
            <w:noWrap/>
            <w:hideMark/>
          </w:tcPr>
          <w:p w14:paraId="67C41190" w14:textId="7790FABB" w:rsidR="000A39C1" w:rsidRPr="00027561" w:rsidRDefault="000A39C1" w:rsidP="009926D5">
            <w:pPr>
              <w:spacing w:line="240" w:lineRule="auto"/>
              <w:jc w:val="right"/>
            </w:pPr>
            <w:r w:rsidRPr="00027561">
              <w:t>561,885</w:t>
            </w:r>
          </w:p>
        </w:tc>
        <w:tc>
          <w:tcPr>
            <w:tcW w:w="1767" w:type="dxa"/>
            <w:noWrap/>
            <w:hideMark/>
          </w:tcPr>
          <w:p w14:paraId="67E2B8F9" w14:textId="254C6E95" w:rsidR="000A39C1" w:rsidRPr="00027561" w:rsidRDefault="000A39C1" w:rsidP="009926D5">
            <w:pPr>
              <w:spacing w:line="240" w:lineRule="auto"/>
              <w:jc w:val="right"/>
            </w:pPr>
            <w:r w:rsidRPr="00027561">
              <w:t>7,156</w:t>
            </w:r>
          </w:p>
        </w:tc>
        <w:tc>
          <w:tcPr>
            <w:tcW w:w="1525" w:type="dxa"/>
            <w:noWrap/>
            <w:hideMark/>
          </w:tcPr>
          <w:p w14:paraId="7FDF055D" w14:textId="63543CEC" w:rsidR="000A39C1" w:rsidRPr="00027561" w:rsidRDefault="000A39C1" w:rsidP="009926D5">
            <w:pPr>
              <w:spacing w:line="240" w:lineRule="auto"/>
              <w:jc w:val="right"/>
            </w:pPr>
            <w:r w:rsidRPr="00027561">
              <w:t>569,041</w:t>
            </w:r>
          </w:p>
        </w:tc>
        <w:tc>
          <w:tcPr>
            <w:tcW w:w="1640" w:type="dxa"/>
            <w:noWrap/>
            <w:hideMark/>
          </w:tcPr>
          <w:p w14:paraId="29DDC9FB" w14:textId="77777777" w:rsidR="000A39C1" w:rsidRPr="00027561" w:rsidRDefault="000A39C1" w:rsidP="009926D5">
            <w:pPr>
              <w:spacing w:line="240" w:lineRule="auto"/>
              <w:jc w:val="right"/>
            </w:pPr>
            <w:r w:rsidRPr="00027561">
              <w:t>1.27%</w:t>
            </w:r>
          </w:p>
        </w:tc>
      </w:tr>
      <w:tr w:rsidR="000A39C1" w:rsidRPr="00027561" w14:paraId="3D2D6A17" w14:textId="77777777" w:rsidTr="00F32E5B">
        <w:trPr>
          <w:trHeight w:val="285"/>
        </w:trPr>
        <w:tc>
          <w:tcPr>
            <w:tcW w:w="3707" w:type="dxa"/>
            <w:shd w:val="clear" w:color="auto" w:fill="DEEAF6" w:themeFill="accent5" w:themeFillTint="33"/>
            <w:noWrap/>
            <w:hideMark/>
          </w:tcPr>
          <w:p w14:paraId="4CDAAAC4" w14:textId="77777777" w:rsidR="000A39C1" w:rsidRPr="00027561" w:rsidRDefault="000A39C1" w:rsidP="00802D17">
            <w:pPr>
              <w:spacing w:line="240" w:lineRule="auto"/>
            </w:pPr>
            <w:r w:rsidRPr="00027561">
              <w:t>Students with Disabilities</w:t>
            </w:r>
          </w:p>
        </w:tc>
        <w:tc>
          <w:tcPr>
            <w:tcW w:w="2083" w:type="dxa"/>
            <w:shd w:val="clear" w:color="auto" w:fill="DEEAF6" w:themeFill="accent5" w:themeFillTint="33"/>
            <w:noWrap/>
            <w:hideMark/>
          </w:tcPr>
          <w:p w14:paraId="7BD5ECBA" w14:textId="0FEFC628" w:rsidR="000A39C1" w:rsidRPr="00027561" w:rsidRDefault="000A39C1" w:rsidP="009926D5">
            <w:pPr>
              <w:spacing w:line="240" w:lineRule="auto"/>
              <w:jc w:val="right"/>
            </w:pPr>
            <w:r w:rsidRPr="00027561">
              <w:t>117,475</w:t>
            </w:r>
          </w:p>
        </w:tc>
        <w:tc>
          <w:tcPr>
            <w:tcW w:w="1767" w:type="dxa"/>
            <w:shd w:val="clear" w:color="auto" w:fill="DEEAF6" w:themeFill="accent5" w:themeFillTint="33"/>
            <w:noWrap/>
            <w:hideMark/>
          </w:tcPr>
          <w:p w14:paraId="58E79F5E" w14:textId="003B04F4" w:rsidR="000A39C1" w:rsidRPr="00027561" w:rsidRDefault="000A39C1" w:rsidP="009926D5">
            <w:pPr>
              <w:spacing w:line="240" w:lineRule="auto"/>
              <w:jc w:val="right"/>
            </w:pPr>
            <w:r w:rsidRPr="00027561">
              <w:t>11,443</w:t>
            </w:r>
          </w:p>
        </w:tc>
        <w:tc>
          <w:tcPr>
            <w:tcW w:w="1525" w:type="dxa"/>
            <w:shd w:val="clear" w:color="auto" w:fill="DEEAF6" w:themeFill="accent5" w:themeFillTint="33"/>
            <w:noWrap/>
            <w:hideMark/>
          </w:tcPr>
          <w:p w14:paraId="48D9C678" w14:textId="31B21482" w:rsidR="000A39C1" w:rsidRPr="00027561" w:rsidRDefault="000A39C1" w:rsidP="009926D5">
            <w:pPr>
              <w:spacing w:line="240" w:lineRule="auto"/>
              <w:jc w:val="right"/>
            </w:pPr>
            <w:r w:rsidRPr="00027561">
              <w:t>128,918</w:t>
            </w:r>
          </w:p>
        </w:tc>
        <w:tc>
          <w:tcPr>
            <w:tcW w:w="1640" w:type="dxa"/>
            <w:shd w:val="clear" w:color="auto" w:fill="DEEAF6" w:themeFill="accent5" w:themeFillTint="33"/>
            <w:noWrap/>
            <w:hideMark/>
          </w:tcPr>
          <w:p w14:paraId="659FC3F5" w14:textId="77777777" w:rsidR="000A39C1" w:rsidRPr="00027561" w:rsidRDefault="000A39C1" w:rsidP="009926D5">
            <w:pPr>
              <w:spacing w:line="240" w:lineRule="auto"/>
              <w:jc w:val="right"/>
            </w:pPr>
            <w:r w:rsidRPr="00027561">
              <w:t>9.74%</w:t>
            </w:r>
          </w:p>
        </w:tc>
      </w:tr>
      <w:tr w:rsidR="000A39C1" w:rsidRPr="00027561" w14:paraId="6FFC9A40" w14:textId="77777777" w:rsidTr="00F32E5B">
        <w:trPr>
          <w:trHeight w:val="285"/>
        </w:trPr>
        <w:tc>
          <w:tcPr>
            <w:tcW w:w="3707" w:type="dxa"/>
            <w:noWrap/>
            <w:hideMark/>
          </w:tcPr>
          <w:p w14:paraId="028DF631" w14:textId="77777777" w:rsidR="000A39C1" w:rsidRPr="00027561" w:rsidRDefault="000A39C1" w:rsidP="00802D17">
            <w:pPr>
              <w:spacing w:line="240" w:lineRule="auto"/>
            </w:pPr>
            <w:r w:rsidRPr="00027561">
              <w:t>Economically Disadvantaged</w:t>
            </w:r>
          </w:p>
        </w:tc>
        <w:tc>
          <w:tcPr>
            <w:tcW w:w="2083" w:type="dxa"/>
            <w:noWrap/>
            <w:hideMark/>
          </w:tcPr>
          <w:p w14:paraId="1B2A68E8" w14:textId="7C91A77F" w:rsidR="000A39C1" w:rsidRPr="00027561" w:rsidRDefault="000A39C1" w:rsidP="009926D5">
            <w:pPr>
              <w:spacing w:line="240" w:lineRule="auto"/>
              <w:jc w:val="right"/>
            </w:pPr>
            <w:r w:rsidRPr="00027561">
              <w:t>389,209</w:t>
            </w:r>
          </w:p>
        </w:tc>
        <w:tc>
          <w:tcPr>
            <w:tcW w:w="1767" w:type="dxa"/>
            <w:noWrap/>
            <w:hideMark/>
          </w:tcPr>
          <w:p w14:paraId="45073B1D" w14:textId="7339A84E" w:rsidR="000A39C1" w:rsidRPr="00027561" w:rsidRDefault="000A39C1" w:rsidP="009926D5">
            <w:pPr>
              <w:spacing w:line="240" w:lineRule="auto"/>
              <w:jc w:val="right"/>
            </w:pPr>
            <w:r w:rsidRPr="00027561">
              <w:t>7,066</w:t>
            </w:r>
          </w:p>
        </w:tc>
        <w:tc>
          <w:tcPr>
            <w:tcW w:w="1525" w:type="dxa"/>
            <w:noWrap/>
            <w:hideMark/>
          </w:tcPr>
          <w:p w14:paraId="4173A62B" w14:textId="17C992D9" w:rsidR="000A39C1" w:rsidRPr="00027561" w:rsidRDefault="000A39C1" w:rsidP="009926D5">
            <w:pPr>
              <w:spacing w:line="240" w:lineRule="auto"/>
              <w:jc w:val="right"/>
            </w:pPr>
            <w:r w:rsidRPr="00027561">
              <w:t>396,275</w:t>
            </w:r>
          </w:p>
        </w:tc>
        <w:tc>
          <w:tcPr>
            <w:tcW w:w="1640" w:type="dxa"/>
            <w:noWrap/>
            <w:hideMark/>
          </w:tcPr>
          <w:p w14:paraId="0CBAA946" w14:textId="77777777" w:rsidR="000A39C1" w:rsidRPr="00027561" w:rsidRDefault="000A39C1" w:rsidP="009926D5">
            <w:pPr>
              <w:spacing w:line="240" w:lineRule="auto"/>
              <w:jc w:val="right"/>
            </w:pPr>
            <w:r w:rsidRPr="00027561">
              <w:t>1.82%</w:t>
            </w:r>
          </w:p>
        </w:tc>
      </w:tr>
      <w:tr w:rsidR="000A39C1" w:rsidRPr="00027561" w14:paraId="19783EFB" w14:textId="77777777" w:rsidTr="00F32E5B">
        <w:trPr>
          <w:trHeight w:val="299"/>
        </w:trPr>
        <w:tc>
          <w:tcPr>
            <w:tcW w:w="3707" w:type="dxa"/>
            <w:shd w:val="clear" w:color="auto" w:fill="DEEAF6" w:themeFill="accent5" w:themeFillTint="33"/>
            <w:noWrap/>
            <w:hideMark/>
          </w:tcPr>
          <w:p w14:paraId="19DE85B1" w14:textId="77777777" w:rsidR="000A39C1" w:rsidRPr="00027561" w:rsidRDefault="000A39C1" w:rsidP="00802D17">
            <w:pPr>
              <w:spacing w:line="240" w:lineRule="auto"/>
            </w:pPr>
            <w:r w:rsidRPr="00027561">
              <w:t>English Learners</w:t>
            </w:r>
          </w:p>
        </w:tc>
        <w:tc>
          <w:tcPr>
            <w:tcW w:w="2083" w:type="dxa"/>
            <w:shd w:val="clear" w:color="auto" w:fill="DEEAF6" w:themeFill="accent5" w:themeFillTint="33"/>
            <w:noWrap/>
            <w:hideMark/>
          </w:tcPr>
          <w:p w14:paraId="08BB94E5" w14:textId="7AD3B176" w:rsidR="000A39C1" w:rsidRPr="00027561" w:rsidRDefault="000A39C1" w:rsidP="009926D5">
            <w:pPr>
              <w:spacing w:line="240" w:lineRule="auto"/>
              <w:jc w:val="right"/>
            </w:pPr>
            <w:r w:rsidRPr="00027561">
              <w:t>24,659</w:t>
            </w:r>
          </w:p>
        </w:tc>
        <w:tc>
          <w:tcPr>
            <w:tcW w:w="1767" w:type="dxa"/>
            <w:shd w:val="clear" w:color="auto" w:fill="DEEAF6" w:themeFill="accent5" w:themeFillTint="33"/>
            <w:noWrap/>
            <w:hideMark/>
          </w:tcPr>
          <w:p w14:paraId="1F4BD482" w14:textId="05FAA3DD" w:rsidR="000A39C1" w:rsidRPr="00027561" w:rsidRDefault="000A39C1" w:rsidP="009926D5">
            <w:pPr>
              <w:spacing w:line="240" w:lineRule="auto"/>
              <w:jc w:val="right"/>
            </w:pPr>
            <w:r w:rsidRPr="00027561">
              <w:t>592</w:t>
            </w:r>
          </w:p>
        </w:tc>
        <w:tc>
          <w:tcPr>
            <w:tcW w:w="1525" w:type="dxa"/>
            <w:shd w:val="clear" w:color="auto" w:fill="DEEAF6" w:themeFill="accent5" w:themeFillTint="33"/>
            <w:noWrap/>
            <w:hideMark/>
          </w:tcPr>
          <w:p w14:paraId="3B24455C" w14:textId="2B135D95" w:rsidR="000A39C1" w:rsidRPr="00027561" w:rsidRDefault="000A39C1" w:rsidP="009926D5">
            <w:pPr>
              <w:spacing w:line="240" w:lineRule="auto"/>
              <w:jc w:val="right"/>
            </w:pPr>
            <w:r w:rsidRPr="00027561">
              <w:t>25,251</w:t>
            </w:r>
          </w:p>
        </w:tc>
        <w:tc>
          <w:tcPr>
            <w:tcW w:w="1640" w:type="dxa"/>
            <w:shd w:val="clear" w:color="auto" w:fill="DEEAF6" w:themeFill="accent5" w:themeFillTint="33"/>
            <w:noWrap/>
            <w:hideMark/>
          </w:tcPr>
          <w:p w14:paraId="7985B4DB" w14:textId="77777777" w:rsidR="000A39C1" w:rsidRPr="00027561" w:rsidRDefault="000A39C1" w:rsidP="009926D5">
            <w:pPr>
              <w:spacing w:line="240" w:lineRule="auto"/>
              <w:jc w:val="right"/>
            </w:pPr>
            <w:r w:rsidRPr="00027561">
              <w:t>2.40%</w:t>
            </w:r>
          </w:p>
        </w:tc>
      </w:tr>
      <w:bookmarkEnd w:id="21"/>
    </w:tbl>
    <w:p w14:paraId="51046243" w14:textId="77777777" w:rsidR="000A39C1" w:rsidRDefault="000A39C1">
      <w:pPr>
        <w:rPr>
          <w:b/>
          <w:bCs/>
          <w:color w:val="000000" w:themeColor="text1"/>
        </w:rPr>
      </w:pPr>
    </w:p>
    <w:p w14:paraId="0A70D150" w14:textId="1DE380F4" w:rsidR="00983C77" w:rsidRDefault="000A39C1">
      <w:pPr>
        <w:rPr>
          <w:b/>
          <w:bCs/>
          <w:color w:val="000000" w:themeColor="text1"/>
        </w:rPr>
      </w:pPr>
      <w:r>
        <w:rPr>
          <w:b/>
          <w:bCs/>
          <w:color w:val="000000" w:themeColor="text1"/>
        </w:rPr>
        <w:t xml:space="preserve">Table 2C: 2020-2021 Participation in </w:t>
      </w:r>
      <w:r w:rsidR="0024436B">
        <w:rPr>
          <w:b/>
          <w:bCs/>
          <w:color w:val="000000" w:themeColor="text1"/>
        </w:rPr>
        <w:t xml:space="preserve">the Science </w:t>
      </w:r>
      <w:r>
        <w:rPr>
          <w:b/>
          <w:bCs/>
          <w:color w:val="000000" w:themeColor="text1"/>
        </w:rPr>
        <w:t>Alternate Assessment (Grade 3-8 and High School)</w:t>
      </w:r>
    </w:p>
    <w:tbl>
      <w:tblPr>
        <w:tblStyle w:val="TableGrid1"/>
        <w:tblW w:w="0" w:type="auto"/>
        <w:tblLook w:val="04A0" w:firstRow="1" w:lastRow="0" w:firstColumn="1" w:lastColumn="0" w:noHBand="0" w:noVBand="1"/>
        <w:tblCaption w:val="2020-2021 Participation in Science Alternate Assessment (grade 3-8 &amp; high school)"/>
        <w:tblDescription w:val="This graph shows the number of students, broken down into subgroup, who participated in the science alternate assessment. Data shows the number of students who took the standard science assessment, the number of students who took the science alternate assessment, all students tested and the percent of students alternately assessed. Overall in science, 355,201 students were tested, 5,225 students took the alternate assessment, 360,426 total students were tested, and 1.45% of the students were alternately assessed. "/>
      </w:tblPr>
      <w:tblGrid>
        <w:gridCol w:w="3707"/>
        <w:gridCol w:w="2084"/>
        <w:gridCol w:w="1767"/>
        <w:gridCol w:w="1526"/>
        <w:gridCol w:w="1640"/>
      </w:tblGrid>
      <w:tr w:rsidR="00A8410F" w:rsidRPr="00027561" w14:paraId="1C99ECF2" w14:textId="77777777" w:rsidTr="00F32E5B">
        <w:trPr>
          <w:trHeight w:val="1389"/>
        </w:trPr>
        <w:tc>
          <w:tcPr>
            <w:tcW w:w="3707" w:type="dxa"/>
            <w:shd w:val="clear" w:color="auto" w:fill="9CC2E5" w:themeFill="accent5" w:themeFillTint="99"/>
            <w:noWrap/>
            <w:vAlign w:val="center"/>
            <w:hideMark/>
          </w:tcPr>
          <w:p w14:paraId="6E1888EB" w14:textId="77777777" w:rsidR="00A8410F" w:rsidRPr="00027561" w:rsidRDefault="00A8410F" w:rsidP="00027561">
            <w:pPr>
              <w:spacing w:line="240" w:lineRule="auto"/>
              <w:jc w:val="center"/>
              <w:rPr>
                <w:b/>
                <w:bCs/>
              </w:rPr>
            </w:pPr>
            <w:bookmarkStart w:id="22" w:name="Science_Alternate_Assessment"/>
            <w:r w:rsidRPr="00027561">
              <w:rPr>
                <w:b/>
                <w:bCs/>
              </w:rPr>
              <w:t>Subgroup</w:t>
            </w:r>
          </w:p>
        </w:tc>
        <w:tc>
          <w:tcPr>
            <w:tcW w:w="2084" w:type="dxa"/>
            <w:shd w:val="clear" w:color="auto" w:fill="9CC2E5" w:themeFill="accent5" w:themeFillTint="99"/>
            <w:vAlign w:val="center"/>
            <w:hideMark/>
          </w:tcPr>
          <w:p w14:paraId="3E4996CF" w14:textId="77777777" w:rsidR="00A8410F" w:rsidRPr="00027561" w:rsidRDefault="00A8410F" w:rsidP="00027561">
            <w:pPr>
              <w:spacing w:line="240" w:lineRule="auto"/>
              <w:jc w:val="center"/>
              <w:rPr>
                <w:b/>
                <w:bCs/>
              </w:rPr>
            </w:pPr>
            <w:r w:rsidRPr="00027561">
              <w:rPr>
                <w:b/>
                <w:bCs/>
              </w:rPr>
              <w:t>Number of Students Who Took the Standard Assessment</w:t>
            </w:r>
          </w:p>
        </w:tc>
        <w:tc>
          <w:tcPr>
            <w:tcW w:w="1767" w:type="dxa"/>
            <w:shd w:val="clear" w:color="auto" w:fill="9CC2E5" w:themeFill="accent5" w:themeFillTint="99"/>
            <w:vAlign w:val="center"/>
            <w:hideMark/>
          </w:tcPr>
          <w:p w14:paraId="282B4B5B" w14:textId="77777777" w:rsidR="00A8410F" w:rsidRPr="00027561" w:rsidRDefault="00A8410F" w:rsidP="00027561">
            <w:pPr>
              <w:spacing w:line="240" w:lineRule="auto"/>
              <w:jc w:val="center"/>
              <w:rPr>
                <w:b/>
                <w:bCs/>
              </w:rPr>
            </w:pPr>
            <w:r w:rsidRPr="00027561">
              <w:rPr>
                <w:b/>
                <w:bCs/>
              </w:rPr>
              <w:t>Number of Students Who Took the Alternate Assessment</w:t>
            </w:r>
          </w:p>
        </w:tc>
        <w:tc>
          <w:tcPr>
            <w:tcW w:w="1526" w:type="dxa"/>
            <w:shd w:val="clear" w:color="auto" w:fill="9CC2E5" w:themeFill="accent5" w:themeFillTint="99"/>
            <w:vAlign w:val="center"/>
            <w:hideMark/>
          </w:tcPr>
          <w:p w14:paraId="1FF6B8D4" w14:textId="77777777" w:rsidR="00A8410F" w:rsidRPr="00027561" w:rsidRDefault="00A8410F" w:rsidP="00027561">
            <w:pPr>
              <w:spacing w:line="240" w:lineRule="auto"/>
              <w:jc w:val="center"/>
              <w:rPr>
                <w:b/>
                <w:bCs/>
              </w:rPr>
            </w:pPr>
            <w:r w:rsidRPr="00027561">
              <w:rPr>
                <w:b/>
                <w:bCs/>
              </w:rPr>
              <w:t>All Students Tested</w:t>
            </w:r>
          </w:p>
        </w:tc>
        <w:tc>
          <w:tcPr>
            <w:tcW w:w="1640" w:type="dxa"/>
            <w:shd w:val="clear" w:color="auto" w:fill="9CC2E5" w:themeFill="accent5" w:themeFillTint="99"/>
            <w:vAlign w:val="center"/>
            <w:hideMark/>
          </w:tcPr>
          <w:p w14:paraId="571D5D87" w14:textId="77777777" w:rsidR="00A8410F" w:rsidRPr="00027561" w:rsidRDefault="00A8410F" w:rsidP="00027561">
            <w:pPr>
              <w:spacing w:line="240" w:lineRule="auto"/>
              <w:jc w:val="center"/>
              <w:rPr>
                <w:b/>
                <w:bCs/>
              </w:rPr>
            </w:pPr>
            <w:r w:rsidRPr="00027561">
              <w:rPr>
                <w:b/>
                <w:bCs/>
              </w:rPr>
              <w:t>Percent Alternately Assessed</w:t>
            </w:r>
          </w:p>
        </w:tc>
      </w:tr>
      <w:tr w:rsidR="000A39C1" w:rsidRPr="00027561" w14:paraId="2FE1A975" w14:textId="77777777" w:rsidTr="00F32E5B">
        <w:trPr>
          <w:trHeight w:val="289"/>
        </w:trPr>
        <w:tc>
          <w:tcPr>
            <w:tcW w:w="3707" w:type="dxa"/>
            <w:noWrap/>
            <w:hideMark/>
          </w:tcPr>
          <w:p w14:paraId="7C3F5A45" w14:textId="77777777" w:rsidR="000A39C1" w:rsidRPr="00027561" w:rsidRDefault="000A39C1" w:rsidP="00802D17">
            <w:pPr>
              <w:spacing w:line="240" w:lineRule="auto"/>
              <w:rPr>
                <w:b/>
                <w:bCs/>
              </w:rPr>
            </w:pPr>
            <w:r w:rsidRPr="00027561">
              <w:rPr>
                <w:b/>
                <w:bCs/>
              </w:rPr>
              <w:t>All Students</w:t>
            </w:r>
          </w:p>
        </w:tc>
        <w:tc>
          <w:tcPr>
            <w:tcW w:w="2084" w:type="dxa"/>
            <w:noWrap/>
            <w:hideMark/>
          </w:tcPr>
          <w:p w14:paraId="2576FD22" w14:textId="4466877C" w:rsidR="000A39C1" w:rsidRPr="00027561" w:rsidRDefault="000A39C1" w:rsidP="009926D5">
            <w:pPr>
              <w:spacing w:line="240" w:lineRule="auto"/>
              <w:jc w:val="right"/>
              <w:rPr>
                <w:b/>
                <w:bCs/>
              </w:rPr>
            </w:pPr>
            <w:r w:rsidRPr="00027561">
              <w:rPr>
                <w:b/>
                <w:bCs/>
              </w:rPr>
              <w:t>355,201</w:t>
            </w:r>
          </w:p>
        </w:tc>
        <w:tc>
          <w:tcPr>
            <w:tcW w:w="1767" w:type="dxa"/>
            <w:noWrap/>
            <w:hideMark/>
          </w:tcPr>
          <w:p w14:paraId="60D9C2C3" w14:textId="3D49176E" w:rsidR="000A39C1" w:rsidRPr="00027561" w:rsidRDefault="000A39C1" w:rsidP="009926D5">
            <w:pPr>
              <w:spacing w:line="240" w:lineRule="auto"/>
              <w:jc w:val="right"/>
              <w:rPr>
                <w:b/>
                <w:bCs/>
              </w:rPr>
            </w:pPr>
            <w:r w:rsidRPr="00027561">
              <w:rPr>
                <w:b/>
                <w:bCs/>
              </w:rPr>
              <w:t>5,225</w:t>
            </w:r>
          </w:p>
        </w:tc>
        <w:tc>
          <w:tcPr>
            <w:tcW w:w="1526" w:type="dxa"/>
            <w:noWrap/>
            <w:hideMark/>
          </w:tcPr>
          <w:p w14:paraId="1D11A2A3" w14:textId="61533A9C" w:rsidR="000A39C1" w:rsidRPr="00027561" w:rsidRDefault="000A39C1" w:rsidP="009926D5">
            <w:pPr>
              <w:spacing w:line="240" w:lineRule="auto"/>
              <w:jc w:val="right"/>
              <w:rPr>
                <w:b/>
                <w:bCs/>
              </w:rPr>
            </w:pPr>
            <w:r w:rsidRPr="00027561">
              <w:rPr>
                <w:b/>
                <w:bCs/>
              </w:rPr>
              <w:t>360,426</w:t>
            </w:r>
          </w:p>
        </w:tc>
        <w:tc>
          <w:tcPr>
            <w:tcW w:w="1640" w:type="dxa"/>
            <w:noWrap/>
            <w:hideMark/>
          </w:tcPr>
          <w:p w14:paraId="4898FAFD" w14:textId="04ECEE80" w:rsidR="000A39C1" w:rsidRPr="00027561" w:rsidRDefault="000A39C1" w:rsidP="20205FD2">
            <w:pPr>
              <w:spacing w:line="240" w:lineRule="auto"/>
              <w:jc w:val="right"/>
              <w:rPr>
                <w:b/>
                <w:bCs/>
              </w:rPr>
            </w:pPr>
            <w:r w:rsidRPr="00027561">
              <w:rPr>
                <w:b/>
                <w:bCs/>
              </w:rPr>
              <w:t>1.45%</w:t>
            </w:r>
          </w:p>
        </w:tc>
      </w:tr>
      <w:tr w:rsidR="000A39C1" w:rsidRPr="00027561" w14:paraId="21C25CEF" w14:textId="77777777" w:rsidTr="00F32E5B">
        <w:trPr>
          <w:trHeight w:val="275"/>
        </w:trPr>
        <w:tc>
          <w:tcPr>
            <w:tcW w:w="3707" w:type="dxa"/>
            <w:shd w:val="clear" w:color="auto" w:fill="DEEAF6" w:themeFill="accent5" w:themeFillTint="33"/>
            <w:noWrap/>
            <w:hideMark/>
          </w:tcPr>
          <w:p w14:paraId="3E18A9DE" w14:textId="77777777" w:rsidR="000A39C1" w:rsidRPr="00027561" w:rsidRDefault="000A39C1" w:rsidP="00802D17">
            <w:pPr>
              <w:spacing w:line="240" w:lineRule="auto"/>
            </w:pPr>
            <w:r w:rsidRPr="00027561">
              <w:t>American Indian or Alaskan Native</w:t>
            </w:r>
          </w:p>
        </w:tc>
        <w:tc>
          <w:tcPr>
            <w:tcW w:w="2084" w:type="dxa"/>
            <w:shd w:val="clear" w:color="auto" w:fill="DEEAF6" w:themeFill="accent5" w:themeFillTint="33"/>
            <w:noWrap/>
            <w:vAlign w:val="center"/>
            <w:hideMark/>
          </w:tcPr>
          <w:p w14:paraId="53398DAD" w14:textId="2C686774" w:rsidR="000A39C1" w:rsidRPr="00027561" w:rsidRDefault="000A39C1" w:rsidP="009926D5">
            <w:pPr>
              <w:spacing w:line="240" w:lineRule="auto"/>
              <w:jc w:val="right"/>
            </w:pPr>
            <w:r w:rsidRPr="00027561">
              <w:t>394</w:t>
            </w:r>
          </w:p>
        </w:tc>
        <w:tc>
          <w:tcPr>
            <w:tcW w:w="1767" w:type="dxa"/>
            <w:shd w:val="clear" w:color="auto" w:fill="DEEAF6" w:themeFill="accent5" w:themeFillTint="33"/>
            <w:noWrap/>
            <w:vAlign w:val="center"/>
            <w:hideMark/>
          </w:tcPr>
          <w:p w14:paraId="61FD127E" w14:textId="3814AE1A" w:rsidR="000A39C1" w:rsidRPr="00027561" w:rsidRDefault="000A39C1" w:rsidP="009926D5">
            <w:pPr>
              <w:spacing w:line="240" w:lineRule="auto"/>
              <w:jc w:val="right"/>
            </w:pPr>
            <w:r w:rsidRPr="00027561">
              <w:t>9</w:t>
            </w:r>
          </w:p>
        </w:tc>
        <w:tc>
          <w:tcPr>
            <w:tcW w:w="1526" w:type="dxa"/>
            <w:shd w:val="clear" w:color="auto" w:fill="DEEAF6" w:themeFill="accent5" w:themeFillTint="33"/>
            <w:noWrap/>
            <w:vAlign w:val="center"/>
            <w:hideMark/>
          </w:tcPr>
          <w:p w14:paraId="44BB5426" w14:textId="6D0B3092" w:rsidR="000A39C1" w:rsidRPr="00027561" w:rsidRDefault="000A39C1" w:rsidP="009926D5">
            <w:pPr>
              <w:spacing w:line="240" w:lineRule="auto"/>
              <w:jc w:val="right"/>
            </w:pPr>
            <w:r w:rsidRPr="00027561">
              <w:t>403</w:t>
            </w:r>
          </w:p>
        </w:tc>
        <w:tc>
          <w:tcPr>
            <w:tcW w:w="1640" w:type="dxa"/>
            <w:shd w:val="clear" w:color="auto" w:fill="DEEAF6" w:themeFill="accent5" w:themeFillTint="33"/>
            <w:noWrap/>
            <w:vAlign w:val="center"/>
            <w:hideMark/>
          </w:tcPr>
          <w:p w14:paraId="6198109E" w14:textId="77777777" w:rsidR="000A39C1" w:rsidRPr="00027561" w:rsidRDefault="000A39C1" w:rsidP="009926D5">
            <w:pPr>
              <w:spacing w:line="240" w:lineRule="auto"/>
              <w:jc w:val="right"/>
            </w:pPr>
            <w:r w:rsidRPr="00027561">
              <w:t>2.28%</w:t>
            </w:r>
          </w:p>
        </w:tc>
      </w:tr>
      <w:tr w:rsidR="000A39C1" w:rsidRPr="00027561" w14:paraId="43F47E91" w14:textId="77777777" w:rsidTr="00F32E5B">
        <w:trPr>
          <w:trHeight w:val="275"/>
        </w:trPr>
        <w:tc>
          <w:tcPr>
            <w:tcW w:w="3707" w:type="dxa"/>
            <w:noWrap/>
            <w:hideMark/>
          </w:tcPr>
          <w:p w14:paraId="563D8475" w14:textId="77777777" w:rsidR="000A39C1" w:rsidRPr="00027561" w:rsidRDefault="000A39C1" w:rsidP="00802D17">
            <w:pPr>
              <w:spacing w:line="240" w:lineRule="auto"/>
            </w:pPr>
            <w:r w:rsidRPr="00027561">
              <w:t>Asian or Pacific Islander</w:t>
            </w:r>
          </w:p>
        </w:tc>
        <w:tc>
          <w:tcPr>
            <w:tcW w:w="2084" w:type="dxa"/>
            <w:noWrap/>
            <w:hideMark/>
          </w:tcPr>
          <w:p w14:paraId="110F6734" w14:textId="3C55AAF4" w:rsidR="000A39C1" w:rsidRPr="00027561" w:rsidRDefault="000A39C1" w:rsidP="009926D5">
            <w:pPr>
              <w:spacing w:line="240" w:lineRule="auto"/>
              <w:jc w:val="right"/>
            </w:pPr>
            <w:r w:rsidRPr="00027561">
              <w:t>9,224</w:t>
            </w:r>
          </w:p>
        </w:tc>
        <w:tc>
          <w:tcPr>
            <w:tcW w:w="1767" w:type="dxa"/>
            <w:noWrap/>
            <w:hideMark/>
          </w:tcPr>
          <w:p w14:paraId="16F7028C" w14:textId="0C67FECE" w:rsidR="000A39C1" w:rsidRPr="00027561" w:rsidRDefault="000A39C1" w:rsidP="009926D5">
            <w:pPr>
              <w:spacing w:line="240" w:lineRule="auto"/>
              <w:jc w:val="right"/>
            </w:pPr>
            <w:r w:rsidRPr="00027561">
              <w:t>107</w:t>
            </w:r>
          </w:p>
        </w:tc>
        <w:tc>
          <w:tcPr>
            <w:tcW w:w="1526" w:type="dxa"/>
            <w:noWrap/>
            <w:hideMark/>
          </w:tcPr>
          <w:p w14:paraId="1D29615F" w14:textId="35E6A9C1" w:rsidR="000A39C1" w:rsidRPr="00027561" w:rsidRDefault="000A39C1" w:rsidP="009926D5">
            <w:pPr>
              <w:spacing w:line="240" w:lineRule="auto"/>
              <w:jc w:val="right"/>
            </w:pPr>
            <w:r w:rsidRPr="00027561">
              <w:t>9,331</w:t>
            </w:r>
          </w:p>
        </w:tc>
        <w:tc>
          <w:tcPr>
            <w:tcW w:w="1640" w:type="dxa"/>
            <w:noWrap/>
            <w:hideMark/>
          </w:tcPr>
          <w:p w14:paraId="578928F1" w14:textId="77777777" w:rsidR="000A39C1" w:rsidRPr="00027561" w:rsidRDefault="000A39C1" w:rsidP="009926D5">
            <w:pPr>
              <w:spacing w:line="240" w:lineRule="auto"/>
              <w:jc w:val="right"/>
            </w:pPr>
            <w:r w:rsidRPr="00027561">
              <w:t>1.16%</w:t>
            </w:r>
          </w:p>
        </w:tc>
      </w:tr>
      <w:tr w:rsidR="000A39C1" w:rsidRPr="00027561" w14:paraId="5FEE5EA8" w14:textId="77777777" w:rsidTr="00F32E5B">
        <w:trPr>
          <w:trHeight w:val="275"/>
        </w:trPr>
        <w:tc>
          <w:tcPr>
            <w:tcW w:w="3707" w:type="dxa"/>
            <w:shd w:val="clear" w:color="auto" w:fill="DEEAF6" w:themeFill="accent5" w:themeFillTint="33"/>
            <w:noWrap/>
            <w:hideMark/>
          </w:tcPr>
          <w:p w14:paraId="756ED997" w14:textId="77777777" w:rsidR="000A39C1" w:rsidRPr="00027561" w:rsidRDefault="000A39C1" w:rsidP="00802D17">
            <w:pPr>
              <w:spacing w:line="240" w:lineRule="auto"/>
            </w:pPr>
            <w:r w:rsidRPr="00027561">
              <w:t>Black, Non-Hispanic</w:t>
            </w:r>
          </w:p>
        </w:tc>
        <w:tc>
          <w:tcPr>
            <w:tcW w:w="2084" w:type="dxa"/>
            <w:shd w:val="clear" w:color="auto" w:fill="DEEAF6" w:themeFill="accent5" w:themeFillTint="33"/>
            <w:noWrap/>
            <w:hideMark/>
          </w:tcPr>
          <w:p w14:paraId="389E6653" w14:textId="3D8C1600" w:rsidR="000A39C1" w:rsidRPr="00027561" w:rsidRDefault="000A39C1" w:rsidP="009926D5">
            <w:pPr>
              <w:spacing w:line="240" w:lineRule="auto"/>
              <w:jc w:val="right"/>
            </w:pPr>
            <w:r w:rsidRPr="00027561">
              <w:t>53,107</w:t>
            </w:r>
          </w:p>
        </w:tc>
        <w:tc>
          <w:tcPr>
            <w:tcW w:w="1767" w:type="dxa"/>
            <w:shd w:val="clear" w:color="auto" w:fill="DEEAF6" w:themeFill="accent5" w:themeFillTint="33"/>
            <w:noWrap/>
            <w:hideMark/>
          </w:tcPr>
          <w:p w14:paraId="2FC84A5B" w14:textId="0CA6D2C5" w:rsidR="000A39C1" w:rsidRPr="00027561" w:rsidRDefault="000A39C1" w:rsidP="009926D5">
            <w:pPr>
              <w:spacing w:line="240" w:lineRule="auto"/>
              <w:jc w:val="right"/>
            </w:pPr>
            <w:r w:rsidRPr="00027561">
              <w:t>1,157</w:t>
            </w:r>
          </w:p>
        </w:tc>
        <w:tc>
          <w:tcPr>
            <w:tcW w:w="1526" w:type="dxa"/>
            <w:shd w:val="clear" w:color="auto" w:fill="DEEAF6" w:themeFill="accent5" w:themeFillTint="33"/>
            <w:noWrap/>
            <w:hideMark/>
          </w:tcPr>
          <w:p w14:paraId="31D9547C" w14:textId="1BC028B7" w:rsidR="000A39C1" w:rsidRPr="00027561" w:rsidRDefault="000A39C1" w:rsidP="009926D5">
            <w:pPr>
              <w:spacing w:line="240" w:lineRule="auto"/>
              <w:jc w:val="right"/>
            </w:pPr>
            <w:r w:rsidRPr="00027561">
              <w:t>54,264</w:t>
            </w:r>
          </w:p>
        </w:tc>
        <w:tc>
          <w:tcPr>
            <w:tcW w:w="1640" w:type="dxa"/>
            <w:shd w:val="clear" w:color="auto" w:fill="DEEAF6" w:themeFill="accent5" w:themeFillTint="33"/>
            <w:noWrap/>
            <w:hideMark/>
          </w:tcPr>
          <w:p w14:paraId="798AE133" w14:textId="77777777" w:rsidR="000A39C1" w:rsidRPr="00027561" w:rsidRDefault="000A39C1" w:rsidP="009926D5">
            <w:pPr>
              <w:spacing w:line="240" w:lineRule="auto"/>
              <w:jc w:val="right"/>
            </w:pPr>
            <w:r w:rsidRPr="00027561">
              <w:t>2.18%</w:t>
            </w:r>
          </w:p>
        </w:tc>
      </w:tr>
      <w:tr w:rsidR="000A39C1" w:rsidRPr="00027561" w14:paraId="09D09515" w14:textId="77777777" w:rsidTr="00F32E5B">
        <w:trPr>
          <w:trHeight w:val="275"/>
        </w:trPr>
        <w:tc>
          <w:tcPr>
            <w:tcW w:w="3707" w:type="dxa"/>
            <w:noWrap/>
            <w:hideMark/>
          </w:tcPr>
          <w:p w14:paraId="0E6A21ED" w14:textId="77777777" w:rsidR="000A39C1" w:rsidRPr="00027561" w:rsidRDefault="000A39C1" w:rsidP="00802D17">
            <w:pPr>
              <w:spacing w:line="240" w:lineRule="auto"/>
            </w:pPr>
            <w:r w:rsidRPr="00027561">
              <w:t>Hispanic</w:t>
            </w:r>
          </w:p>
        </w:tc>
        <w:tc>
          <w:tcPr>
            <w:tcW w:w="2084" w:type="dxa"/>
            <w:noWrap/>
            <w:hideMark/>
          </w:tcPr>
          <w:p w14:paraId="18A437B9" w14:textId="4234E327" w:rsidR="000A39C1" w:rsidRPr="00027561" w:rsidRDefault="000A39C1" w:rsidP="009926D5">
            <w:pPr>
              <w:spacing w:line="240" w:lineRule="auto"/>
              <w:jc w:val="right"/>
            </w:pPr>
            <w:r w:rsidRPr="00027561">
              <w:t>22,933</w:t>
            </w:r>
          </w:p>
        </w:tc>
        <w:tc>
          <w:tcPr>
            <w:tcW w:w="1767" w:type="dxa"/>
            <w:noWrap/>
            <w:hideMark/>
          </w:tcPr>
          <w:p w14:paraId="6EFA77A4" w14:textId="76F0904D" w:rsidR="000A39C1" w:rsidRPr="00027561" w:rsidRDefault="000A39C1" w:rsidP="009926D5">
            <w:pPr>
              <w:spacing w:line="240" w:lineRule="auto"/>
              <w:jc w:val="right"/>
            </w:pPr>
            <w:r w:rsidRPr="00027561">
              <w:t>323</w:t>
            </w:r>
          </w:p>
        </w:tc>
        <w:tc>
          <w:tcPr>
            <w:tcW w:w="1526" w:type="dxa"/>
            <w:noWrap/>
            <w:hideMark/>
          </w:tcPr>
          <w:p w14:paraId="19CCBAB4" w14:textId="5A7A2A93" w:rsidR="000A39C1" w:rsidRPr="00027561" w:rsidRDefault="000A39C1" w:rsidP="009926D5">
            <w:pPr>
              <w:spacing w:line="240" w:lineRule="auto"/>
              <w:jc w:val="right"/>
            </w:pPr>
            <w:r w:rsidRPr="00027561">
              <w:t>23,256</w:t>
            </w:r>
          </w:p>
        </w:tc>
        <w:tc>
          <w:tcPr>
            <w:tcW w:w="1640" w:type="dxa"/>
            <w:noWrap/>
            <w:hideMark/>
          </w:tcPr>
          <w:p w14:paraId="5E234310" w14:textId="77777777" w:rsidR="000A39C1" w:rsidRPr="00027561" w:rsidRDefault="000A39C1" w:rsidP="009926D5">
            <w:pPr>
              <w:spacing w:line="240" w:lineRule="auto"/>
              <w:jc w:val="right"/>
            </w:pPr>
            <w:r w:rsidRPr="00027561">
              <w:t>1.41%</w:t>
            </w:r>
          </w:p>
        </w:tc>
      </w:tr>
      <w:tr w:rsidR="000A39C1" w:rsidRPr="00027561" w14:paraId="70C0E2B8" w14:textId="77777777" w:rsidTr="00F32E5B">
        <w:trPr>
          <w:trHeight w:val="275"/>
        </w:trPr>
        <w:tc>
          <w:tcPr>
            <w:tcW w:w="3707" w:type="dxa"/>
            <w:shd w:val="clear" w:color="auto" w:fill="DEEAF6" w:themeFill="accent5" w:themeFillTint="33"/>
            <w:noWrap/>
            <w:hideMark/>
          </w:tcPr>
          <w:p w14:paraId="27A6714B" w14:textId="77777777" w:rsidR="000A39C1" w:rsidRPr="00027561" w:rsidRDefault="000A39C1" w:rsidP="00802D17">
            <w:pPr>
              <w:spacing w:line="240" w:lineRule="auto"/>
            </w:pPr>
            <w:r w:rsidRPr="00027561">
              <w:t>Multiracial</w:t>
            </w:r>
          </w:p>
        </w:tc>
        <w:tc>
          <w:tcPr>
            <w:tcW w:w="2084" w:type="dxa"/>
            <w:shd w:val="clear" w:color="auto" w:fill="DEEAF6" w:themeFill="accent5" w:themeFillTint="33"/>
            <w:noWrap/>
            <w:hideMark/>
          </w:tcPr>
          <w:p w14:paraId="3755109B" w14:textId="01FB3141" w:rsidR="000A39C1" w:rsidRPr="00027561" w:rsidRDefault="000A39C1" w:rsidP="009926D5">
            <w:pPr>
              <w:spacing w:line="240" w:lineRule="auto"/>
              <w:jc w:val="right"/>
            </w:pPr>
            <w:r w:rsidRPr="00027561">
              <w:t>19,177</w:t>
            </w:r>
          </w:p>
        </w:tc>
        <w:tc>
          <w:tcPr>
            <w:tcW w:w="1767" w:type="dxa"/>
            <w:shd w:val="clear" w:color="auto" w:fill="DEEAF6" w:themeFill="accent5" w:themeFillTint="33"/>
            <w:noWrap/>
            <w:hideMark/>
          </w:tcPr>
          <w:p w14:paraId="556AD34A" w14:textId="05DCD7C8" w:rsidR="000A39C1" w:rsidRPr="00027561" w:rsidRDefault="000A39C1" w:rsidP="009926D5">
            <w:pPr>
              <w:spacing w:line="240" w:lineRule="auto"/>
              <w:jc w:val="right"/>
            </w:pPr>
            <w:r w:rsidRPr="00027561">
              <w:t>247</w:t>
            </w:r>
          </w:p>
        </w:tc>
        <w:tc>
          <w:tcPr>
            <w:tcW w:w="1526" w:type="dxa"/>
            <w:shd w:val="clear" w:color="auto" w:fill="DEEAF6" w:themeFill="accent5" w:themeFillTint="33"/>
            <w:noWrap/>
            <w:hideMark/>
          </w:tcPr>
          <w:p w14:paraId="7E389492" w14:textId="5011EB3C" w:rsidR="000A39C1" w:rsidRPr="00027561" w:rsidRDefault="000A39C1" w:rsidP="009926D5">
            <w:pPr>
              <w:spacing w:line="240" w:lineRule="auto"/>
              <w:jc w:val="right"/>
            </w:pPr>
            <w:r w:rsidRPr="00027561">
              <w:t>19,424</w:t>
            </w:r>
          </w:p>
        </w:tc>
        <w:tc>
          <w:tcPr>
            <w:tcW w:w="1640" w:type="dxa"/>
            <w:shd w:val="clear" w:color="auto" w:fill="DEEAF6" w:themeFill="accent5" w:themeFillTint="33"/>
            <w:noWrap/>
            <w:hideMark/>
          </w:tcPr>
          <w:p w14:paraId="5BA8AB4F" w14:textId="77777777" w:rsidR="000A39C1" w:rsidRPr="00027561" w:rsidRDefault="000A39C1" w:rsidP="009926D5">
            <w:pPr>
              <w:spacing w:line="240" w:lineRule="auto"/>
              <w:jc w:val="right"/>
            </w:pPr>
            <w:r w:rsidRPr="00027561">
              <w:t>1.29%</w:t>
            </w:r>
          </w:p>
        </w:tc>
      </w:tr>
      <w:tr w:rsidR="000A39C1" w:rsidRPr="00027561" w14:paraId="078CA5BF" w14:textId="77777777" w:rsidTr="00F32E5B">
        <w:trPr>
          <w:trHeight w:val="275"/>
        </w:trPr>
        <w:tc>
          <w:tcPr>
            <w:tcW w:w="3707" w:type="dxa"/>
            <w:noWrap/>
            <w:hideMark/>
          </w:tcPr>
          <w:p w14:paraId="06D04664" w14:textId="77777777" w:rsidR="000A39C1" w:rsidRPr="00027561" w:rsidRDefault="000A39C1" w:rsidP="00802D17">
            <w:pPr>
              <w:spacing w:line="240" w:lineRule="auto"/>
            </w:pPr>
            <w:r w:rsidRPr="00027561">
              <w:t>White, Non-Hispanic</w:t>
            </w:r>
          </w:p>
        </w:tc>
        <w:tc>
          <w:tcPr>
            <w:tcW w:w="2084" w:type="dxa"/>
            <w:noWrap/>
            <w:hideMark/>
          </w:tcPr>
          <w:p w14:paraId="7F290CF1" w14:textId="1C9D352D" w:rsidR="000A39C1" w:rsidRPr="00027561" w:rsidRDefault="000A39C1" w:rsidP="009926D5">
            <w:pPr>
              <w:spacing w:line="240" w:lineRule="auto"/>
              <w:jc w:val="right"/>
            </w:pPr>
            <w:r w:rsidRPr="00027561">
              <w:t>250,366</w:t>
            </w:r>
          </w:p>
        </w:tc>
        <w:tc>
          <w:tcPr>
            <w:tcW w:w="1767" w:type="dxa"/>
            <w:noWrap/>
            <w:hideMark/>
          </w:tcPr>
          <w:p w14:paraId="64E2769B" w14:textId="044EC63D" w:rsidR="000A39C1" w:rsidRPr="00027561" w:rsidRDefault="000A39C1" w:rsidP="009926D5">
            <w:pPr>
              <w:spacing w:line="240" w:lineRule="auto"/>
              <w:jc w:val="right"/>
            </w:pPr>
            <w:r w:rsidRPr="00027561">
              <w:t>3,382</w:t>
            </w:r>
          </w:p>
        </w:tc>
        <w:tc>
          <w:tcPr>
            <w:tcW w:w="1526" w:type="dxa"/>
            <w:noWrap/>
            <w:hideMark/>
          </w:tcPr>
          <w:p w14:paraId="5EECF84A" w14:textId="021DE61F" w:rsidR="000A39C1" w:rsidRPr="00027561" w:rsidRDefault="000A39C1" w:rsidP="009926D5">
            <w:pPr>
              <w:spacing w:line="240" w:lineRule="auto"/>
              <w:jc w:val="right"/>
            </w:pPr>
            <w:r w:rsidRPr="00027561">
              <w:t>253,748</w:t>
            </w:r>
          </w:p>
        </w:tc>
        <w:tc>
          <w:tcPr>
            <w:tcW w:w="1640" w:type="dxa"/>
            <w:noWrap/>
            <w:hideMark/>
          </w:tcPr>
          <w:p w14:paraId="43FE22DF" w14:textId="77777777" w:rsidR="000A39C1" w:rsidRPr="00027561" w:rsidRDefault="000A39C1" w:rsidP="009926D5">
            <w:pPr>
              <w:spacing w:line="240" w:lineRule="auto"/>
              <w:jc w:val="right"/>
            </w:pPr>
            <w:r w:rsidRPr="00027561">
              <w:t>1.35%</w:t>
            </w:r>
          </w:p>
        </w:tc>
      </w:tr>
      <w:tr w:rsidR="000A39C1" w:rsidRPr="00027561" w14:paraId="2E266008" w14:textId="77777777" w:rsidTr="00F32E5B">
        <w:trPr>
          <w:trHeight w:val="275"/>
        </w:trPr>
        <w:tc>
          <w:tcPr>
            <w:tcW w:w="3707" w:type="dxa"/>
            <w:shd w:val="clear" w:color="auto" w:fill="DEEAF6" w:themeFill="accent5" w:themeFillTint="33"/>
            <w:noWrap/>
            <w:hideMark/>
          </w:tcPr>
          <w:p w14:paraId="7C7845FA" w14:textId="77777777" w:rsidR="000A39C1" w:rsidRPr="00027561" w:rsidRDefault="000A39C1" w:rsidP="00802D17">
            <w:pPr>
              <w:spacing w:line="240" w:lineRule="auto"/>
            </w:pPr>
            <w:r w:rsidRPr="00027561">
              <w:t>Students with Disabilities</w:t>
            </w:r>
          </w:p>
        </w:tc>
        <w:tc>
          <w:tcPr>
            <w:tcW w:w="2084" w:type="dxa"/>
            <w:shd w:val="clear" w:color="auto" w:fill="DEEAF6" w:themeFill="accent5" w:themeFillTint="33"/>
            <w:noWrap/>
            <w:hideMark/>
          </w:tcPr>
          <w:p w14:paraId="2D217884" w14:textId="560DB96B" w:rsidR="000A39C1" w:rsidRPr="00027561" w:rsidRDefault="000A39C1" w:rsidP="009926D5">
            <w:pPr>
              <w:spacing w:line="240" w:lineRule="auto"/>
              <w:jc w:val="right"/>
            </w:pPr>
            <w:r w:rsidRPr="00027561">
              <w:t>50,477</w:t>
            </w:r>
          </w:p>
        </w:tc>
        <w:tc>
          <w:tcPr>
            <w:tcW w:w="1767" w:type="dxa"/>
            <w:shd w:val="clear" w:color="auto" w:fill="DEEAF6" w:themeFill="accent5" w:themeFillTint="33"/>
            <w:noWrap/>
            <w:hideMark/>
          </w:tcPr>
          <w:p w14:paraId="78191A9E" w14:textId="5D17B693" w:rsidR="000A39C1" w:rsidRPr="00027561" w:rsidRDefault="000A39C1" w:rsidP="009926D5">
            <w:pPr>
              <w:spacing w:line="240" w:lineRule="auto"/>
              <w:jc w:val="right"/>
            </w:pPr>
            <w:r w:rsidRPr="00027561">
              <w:t>5,214</w:t>
            </w:r>
          </w:p>
        </w:tc>
        <w:tc>
          <w:tcPr>
            <w:tcW w:w="1526" w:type="dxa"/>
            <w:shd w:val="clear" w:color="auto" w:fill="DEEAF6" w:themeFill="accent5" w:themeFillTint="33"/>
            <w:noWrap/>
            <w:hideMark/>
          </w:tcPr>
          <w:p w14:paraId="761F2837" w14:textId="610118B6" w:rsidR="000A39C1" w:rsidRPr="00027561" w:rsidRDefault="000A39C1" w:rsidP="009926D5">
            <w:pPr>
              <w:spacing w:line="240" w:lineRule="auto"/>
              <w:jc w:val="right"/>
            </w:pPr>
            <w:r w:rsidRPr="00027561">
              <w:t>55,691</w:t>
            </w:r>
          </w:p>
        </w:tc>
        <w:tc>
          <w:tcPr>
            <w:tcW w:w="1640" w:type="dxa"/>
            <w:shd w:val="clear" w:color="auto" w:fill="DEEAF6" w:themeFill="accent5" w:themeFillTint="33"/>
            <w:noWrap/>
            <w:hideMark/>
          </w:tcPr>
          <w:p w14:paraId="2456B9E6" w14:textId="77777777" w:rsidR="000A39C1" w:rsidRPr="00027561" w:rsidRDefault="000A39C1" w:rsidP="009926D5">
            <w:pPr>
              <w:spacing w:line="240" w:lineRule="auto"/>
              <w:jc w:val="right"/>
            </w:pPr>
            <w:r w:rsidRPr="00027561">
              <w:t>10.33%</w:t>
            </w:r>
          </w:p>
        </w:tc>
      </w:tr>
      <w:tr w:rsidR="000A39C1" w:rsidRPr="00027561" w14:paraId="46B89D11" w14:textId="77777777" w:rsidTr="00F32E5B">
        <w:trPr>
          <w:trHeight w:val="275"/>
        </w:trPr>
        <w:tc>
          <w:tcPr>
            <w:tcW w:w="3707" w:type="dxa"/>
            <w:noWrap/>
            <w:hideMark/>
          </w:tcPr>
          <w:p w14:paraId="34D3DB28" w14:textId="77777777" w:rsidR="000A39C1" w:rsidRPr="00027561" w:rsidRDefault="000A39C1" w:rsidP="00802D17">
            <w:pPr>
              <w:spacing w:line="240" w:lineRule="auto"/>
            </w:pPr>
            <w:r w:rsidRPr="00027561">
              <w:t>Economically Disadvantaged</w:t>
            </w:r>
          </w:p>
        </w:tc>
        <w:tc>
          <w:tcPr>
            <w:tcW w:w="2084" w:type="dxa"/>
            <w:noWrap/>
            <w:hideMark/>
          </w:tcPr>
          <w:p w14:paraId="3E8B5BC2" w14:textId="678F25F2" w:rsidR="000A39C1" w:rsidRPr="00027561" w:rsidRDefault="000A39C1" w:rsidP="009926D5">
            <w:pPr>
              <w:spacing w:line="240" w:lineRule="auto"/>
              <w:jc w:val="right"/>
            </w:pPr>
            <w:r w:rsidRPr="00027561">
              <w:t>163,363</w:t>
            </w:r>
          </w:p>
        </w:tc>
        <w:tc>
          <w:tcPr>
            <w:tcW w:w="1767" w:type="dxa"/>
            <w:noWrap/>
            <w:hideMark/>
          </w:tcPr>
          <w:p w14:paraId="034BED3C" w14:textId="71C409E1" w:rsidR="000A39C1" w:rsidRPr="00027561" w:rsidRDefault="000A39C1" w:rsidP="009926D5">
            <w:pPr>
              <w:spacing w:line="240" w:lineRule="auto"/>
              <w:jc w:val="right"/>
            </w:pPr>
            <w:r w:rsidRPr="00027561">
              <w:t>3,088</w:t>
            </w:r>
          </w:p>
        </w:tc>
        <w:tc>
          <w:tcPr>
            <w:tcW w:w="1526" w:type="dxa"/>
            <w:noWrap/>
            <w:hideMark/>
          </w:tcPr>
          <w:p w14:paraId="12D8BC6A" w14:textId="4AD8249B" w:rsidR="000A39C1" w:rsidRPr="00027561" w:rsidRDefault="000A39C1" w:rsidP="009926D5">
            <w:pPr>
              <w:spacing w:line="240" w:lineRule="auto"/>
              <w:jc w:val="right"/>
            </w:pPr>
            <w:r w:rsidRPr="00027561">
              <w:t>166,451</w:t>
            </w:r>
          </w:p>
        </w:tc>
        <w:tc>
          <w:tcPr>
            <w:tcW w:w="1640" w:type="dxa"/>
            <w:noWrap/>
            <w:hideMark/>
          </w:tcPr>
          <w:p w14:paraId="1FC0E908" w14:textId="77777777" w:rsidR="000A39C1" w:rsidRPr="00027561" w:rsidRDefault="000A39C1" w:rsidP="009926D5">
            <w:pPr>
              <w:spacing w:line="240" w:lineRule="auto"/>
              <w:jc w:val="right"/>
            </w:pPr>
            <w:r w:rsidRPr="00027561">
              <w:t>1.89%</w:t>
            </w:r>
          </w:p>
        </w:tc>
      </w:tr>
      <w:tr w:rsidR="000A39C1" w:rsidRPr="00027561" w14:paraId="2F8A444C" w14:textId="77777777" w:rsidTr="00F32E5B">
        <w:trPr>
          <w:trHeight w:val="289"/>
        </w:trPr>
        <w:tc>
          <w:tcPr>
            <w:tcW w:w="3707" w:type="dxa"/>
            <w:shd w:val="clear" w:color="auto" w:fill="DEEAF6" w:themeFill="accent5" w:themeFillTint="33"/>
            <w:noWrap/>
            <w:hideMark/>
          </w:tcPr>
          <w:p w14:paraId="2CA8F504" w14:textId="77777777" w:rsidR="000A39C1" w:rsidRPr="00027561" w:rsidRDefault="000A39C1" w:rsidP="00802D17">
            <w:pPr>
              <w:spacing w:line="240" w:lineRule="auto"/>
            </w:pPr>
            <w:r w:rsidRPr="00027561">
              <w:t>English Learners</w:t>
            </w:r>
          </w:p>
        </w:tc>
        <w:tc>
          <w:tcPr>
            <w:tcW w:w="2084" w:type="dxa"/>
            <w:shd w:val="clear" w:color="auto" w:fill="DEEAF6" w:themeFill="accent5" w:themeFillTint="33"/>
            <w:noWrap/>
            <w:hideMark/>
          </w:tcPr>
          <w:p w14:paraId="68CC745D" w14:textId="79AF9A37" w:rsidR="000A39C1" w:rsidRPr="00027561" w:rsidRDefault="000A39C1" w:rsidP="009926D5">
            <w:pPr>
              <w:spacing w:line="240" w:lineRule="auto"/>
              <w:jc w:val="right"/>
            </w:pPr>
            <w:r w:rsidRPr="00027561">
              <w:t>9,300</w:t>
            </w:r>
          </w:p>
        </w:tc>
        <w:tc>
          <w:tcPr>
            <w:tcW w:w="1767" w:type="dxa"/>
            <w:shd w:val="clear" w:color="auto" w:fill="DEEAF6" w:themeFill="accent5" w:themeFillTint="33"/>
            <w:noWrap/>
            <w:hideMark/>
          </w:tcPr>
          <w:p w14:paraId="069912CB" w14:textId="08BBECD6" w:rsidR="000A39C1" w:rsidRPr="00027561" w:rsidRDefault="000A39C1" w:rsidP="009926D5">
            <w:pPr>
              <w:spacing w:line="240" w:lineRule="auto"/>
              <w:jc w:val="right"/>
            </w:pPr>
            <w:r w:rsidRPr="00027561">
              <w:t>226</w:t>
            </w:r>
          </w:p>
        </w:tc>
        <w:tc>
          <w:tcPr>
            <w:tcW w:w="1526" w:type="dxa"/>
            <w:shd w:val="clear" w:color="auto" w:fill="DEEAF6" w:themeFill="accent5" w:themeFillTint="33"/>
            <w:noWrap/>
            <w:hideMark/>
          </w:tcPr>
          <w:p w14:paraId="3972A4A7" w14:textId="2C797707" w:rsidR="000A39C1" w:rsidRPr="00027561" w:rsidRDefault="000A39C1" w:rsidP="009926D5">
            <w:pPr>
              <w:spacing w:line="240" w:lineRule="auto"/>
              <w:jc w:val="right"/>
            </w:pPr>
            <w:r w:rsidRPr="00027561">
              <w:t>9,526</w:t>
            </w:r>
          </w:p>
        </w:tc>
        <w:tc>
          <w:tcPr>
            <w:tcW w:w="1640" w:type="dxa"/>
            <w:shd w:val="clear" w:color="auto" w:fill="DEEAF6" w:themeFill="accent5" w:themeFillTint="33"/>
            <w:noWrap/>
            <w:hideMark/>
          </w:tcPr>
          <w:p w14:paraId="7E236944" w14:textId="77777777" w:rsidR="000A39C1" w:rsidRPr="00027561" w:rsidRDefault="000A39C1" w:rsidP="009926D5">
            <w:pPr>
              <w:spacing w:line="240" w:lineRule="auto"/>
              <w:jc w:val="right"/>
            </w:pPr>
            <w:r w:rsidRPr="00027561">
              <w:t>2.43%</w:t>
            </w:r>
          </w:p>
        </w:tc>
      </w:tr>
      <w:bookmarkEnd w:id="22"/>
    </w:tbl>
    <w:p w14:paraId="1FA24E4E" w14:textId="77777777" w:rsidR="00CF6F32" w:rsidRDefault="00CF6F32" w:rsidP="00595F50"/>
    <w:bookmarkEnd w:id="20"/>
    <w:p w14:paraId="78CC7BE5" w14:textId="1E6A8D08" w:rsidR="001C10EB" w:rsidRPr="00D6040D" w:rsidRDefault="4176D4A2" w:rsidP="000C4A59">
      <w:pPr>
        <w:pStyle w:val="ListParagraph"/>
        <w:numPr>
          <w:ilvl w:val="0"/>
          <w:numId w:val="4"/>
        </w:numPr>
        <w:ind w:left="360"/>
        <w:rPr>
          <w:b/>
          <w:i/>
        </w:rPr>
      </w:pPr>
      <w:r w:rsidRPr="00D6040D">
        <w:rPr>
          <w:b/>
          <w:i/>
        </w:rPr>
        <w:t>The state measured the achievement of at least 95 percent of all students and 95 percent of students in the children with disabilities subgroup enrolled in grades for which the assessment is required.</w:t>
      </w:r>
    </w:p>
    <w:p w14:paraId="21865FE3" w14:textId="60345449" w:rsidR="00B635B9" w:rsidRPr="000064D1" w:rsidRDefault="00B635B9" w:rsidP="00B635B9">
      <w:pPr>
        <w:ind w:left="360"/>
      </w:pPr>
      <w:r w:rsidRPr="000064D1">
        <w:t xml:space="preserve">Ohio follows federal requirements for participation in statewide assessments </w:t>
      </w:r>
      <w:r>
        <w:t xml:space="preserve">as </w:t>
      </w:r>
      <w:r w:rsidRPr="000064D1">
        <w:t xml:space="preserve">outlined in </w:t>
      </w:r>
      <w:proofErr w:type="gramStart"/>
      <w:r w:rsidR="0054031D">
        <w:t>the Every</w:t>
      </w:r>
      <w:proofErr w:type="gramEnd"/>
      <w:r w:rsidR="0054031D">
        <w:t xml:space="preserve"> Student Succeeds Act</w:t>
      </w:r>
      <w:r w:rsidRPr="000064D1">
        <w:t xml:space="preserve">. Students in grades </w:t>
      </w:r>
      <w:r>
        <w:t>3</w:t>
      </w:r>
      <w:r w:rsidRPr="000064D1">
        <w:t xml:space="preserve"> through </w:t>
      </w:r>
      <w:r>
        <w:t>8</w:t>
      </w:r>
      <w:r w:rsidRPr="000064D1">
        <w:t xml:space="preserve"> are required to take both </w:t>
      </w:r>
      <w:r w:rsidR="001C41F2">
        <w:t>reading</w:t>
      </w:r>
      <w:r w:rsidRPr="000064D1">
        <w:t xml:space="preserve"> and mathematics assessments annually. Students in grades </w:t>
      </w:r>
      <w:r>
        <w:t>5</w:t>
      </w:r>
      <w:r w:rsidRPr="000064D1">
        <w:t xml:space="preserve"> and </w:t>
      </w:r>
      <w:r>
        <w:t>8</w:t>
      </w:r>
      <w:r w:rsidRPr="000064D1">
        <w:t xml:space="preserve"> </w:t>
      </w:r>
      <w:r>
        <w:t>must</w:t>
      </w:r>
      <w:r w:rsidRPr="000064D1">
        <w:t xml:space="preserve"> take a science assessment.</w:t>
      </w:r>
      <w:r>
        <w:t xml:space="preserve"> High school students are required to take end</w:t>
      </w:r>
      <w:r w:rsidR="00012E11">
        <w:t>-</w:t>
      </w:r>
      <w:r>
        <w:t>of</w:t>
      </w:r>
      <w:r w:rsidR="00012E11">
        <w:t>-</w:t>
      </w:r>
      <w:r>
        <w:t xml:space="preserve">course exams </w:t>
      </w:r>
      <w:r w:rsidR="0026026C">
        <w:t xml:space="preserve">in </w:t>
      </w:r>
      <w:r w:rsidR="001C41F2">
        <w:t>reading</w:t>
      </w:r>
      <w:r w:rsidR="00DD7310">
        <w:t>,</w:t>
      </w:r>
      <w:r w:rsidR="0026026C">
        <w:t xml:space="preserve"> mathematics </w:t>
      </w:r>
      <w:r w:rsidR="00764CE7">
        <w:t xml:space="preserve">and </w:t>
      </w:r>
      <w:r w:rsidR="008F53D0">
        <w:t>science</w:t>
      </w:r>
      <w:r>
        <w:t xml:space="preserve">. </w:t>
      </w:r>
      <w:r w:rsidRPr="000064D1">
        <w:t xml:space="preserve">Ohio </w:t>
      </w:r>
      <w:r w:rsidR="00495CFD">
        <w:t xml:space="preserve">did not </w:t>
      </w:r>
      <w:r w:rsidRPr="000064D1">
        <w:t>me</w:t>
      </w:r>
      <w:r w:rsidR="00495CFD">
        <w:t>e</w:t>
      </w:r>
      <w:r w:rsidRPr="000064D1">
        <w:t xml:space="preserve">t federal requirements for statewide test participation in </w:t>
      </w:r>
      <w:r w:rsidR="001D55F8">
        <w:t>2020-2021</w:t>
      </w:r>
      <w:r w:rsidR="00705112" w:rsidRPr="000064D1">
        <w:t xml:space="preserve"> </w:t>
      </w:r>
      <w:r w:rsidRPr="000064D1">
        <w:t xml:space="preserve">through the administration of Ohio’s State Tests. Data in </w:t>
      </w:r>
      <w:r w:rsidRPr="00F81A80">
        <w:t xml:space="preserve">Table </w:t>
      </w:r>
      <w:r w:rsidR="00705112" w:rsidRPr="00F81A80">
        <w:t>3</w:t>
      </w:r>
      <w:r w:rsidR="00705112" w:rsidRPr="000064D1">
        <w:t xml:space="preserve"> </w:t>
      </w:r>
      <w:r w:rsidRPr="000064D1">
        <w:t xml:space="preserve">indicate that </w:t>
      </w:r>
      <w:r>
        <w:t xml:space="preserve">the Department measured </w:t>
      </w:r>
      <w:r w:rsidRPr="000064D1">
        <w:t xml:space="preserve">achievement </w:t>
      </w:r>
      <w:r w:rsidR="007B0B1F">
        <w:t xml:space="preserve">of </w:t>
      </w:r>
      <w:r w:rsidR="00D37E36">
        <w:t>93.5</w:t>
      </w:r>
      <w:r w:rsidR="007B0B1F">
        <w:t xml:space="preserve"> percent </w:t>
      </w:r>
      <w:r w:rsidR="00023950">
        <w:t xml:space="preserve">of </w:t>
      </w:r>
      <w:r w:rsidRPr="000064D1">
        <w:t xml:space="preserve">all students </w:t>
      </w:r>
      <w:r w:rsidR="00CD4E15">
        <w:t>and 91.</w:t>
      </w:r>
      <w:r w:rsidR="002D5F22">
        <w:t xml:space="preserve">3 percent of students with disabilities </w:t>
      </w:r>
      <w:r w:rsidRPr="000064D1">
        <w:t>enrolled in grades</w:t>
      </w:r>
      <w:r>
        <w:t xml:space="preserve"> and courses</w:t>
      </w:r>
      <w:r w:rsidRPr="000064D1">
        <w:t xml:space="preserve"> for which an assessment is required</w:t>
      </w:r>
      <w:r w:rsidR="00023950">
        <w:rPr>
          <w:color w:val="000000" w:themeColor="text1"/>
        </w:rPr>
        <w:t>.</w:t>
      </w:r>
      <w:r w:rsidRPr="000064D1">
        <w:t xml:space="preserve"> </w:t>
      </w:r>
      <w:r>
        <w:t xml:space="preserve">The Department </w:t>
      </w:r>
      <w:r w:rsidRPr="000064D1">
        <w:t>measured</w:t>
      </w:r>
      <w:r>
        <w:t xml:space="preserve"> achievement</w:t>
      </w:r>
      <w:r w:rsidRPr="000064D1">
        <w:t xml:space="preserve"> </w:t>
      </w:r>
      <w:r w:rsidR="00023950">
        <w:t>of less</w:t>
      </w:r>
      <w:r w:rsidRPr="000064D1">
        <w:t xml:space="preserve"> than 95 percent of students in the </w:t>
      </w:r>
      <w:r w:rsidR="00861251">
        <w:t>students</w:t>
      </w:r>
      <w:r w:rsidRPr="000064D1">
        <w:t xml:space="preserve"> with disabilities subgroup enrolled in grades </w:t>
      </w:r>
      <w:r>
        <w:t xml:space="preserve">and courses </w:t>
      </w:r>
      <w:r w:rsidRPr="000064D1">
        <w:t>for which an assessment is required</w:t>
      </w:r>
      <w:r w:rsidR="00950E74">
        <w:t xml:space="preserve">. Ohio requests a waiver </w:t>
      </w:r>
      <w:r w:rsidR="00FF53E4" w:rsidRPr="00FF53E4">
        <w:t xml:space="preserve">to the 95 percent participation rate requirement found in 34 CFR 200.6(c)(4)(ii)(B) and </w:t>
      </w:r>
      <w:r w:rsidR="00950E74">
        <w:t>provides</w:t>
      </w:r>
      <w:r w:rsidR="00FF53E4" w:rsidRPr="00FF53E4">
        <w:t xml:space="preserve"> </w:t>
      </w:r>
      <w:r w:rsidR="00950E74">
        <w:t>the</w:t>
      </w:r>
      <w:r w:rsidR="00FF53E4" w:rsidRPr="00FF53E4">
        <w:t xml:space="preserve"> 2018-2019 participation </w:t>
      </w:r>
      <w:r w:rsidR="003061B8">
        <w:t>data</w:t>
      </w:r>
      <w:r w:rsidR="00FF53E4" w:rsidRPr="00FF53E4">
        <w:t xml:space="preserve"> </w:t>
      </w:r>
      <w:r w:rsidR="00950E74">
        <w:t xml:space="preserve">in Table 4. </w:t>
      </w:r>
    </w:p>
    <w:p w14:paraId="6C911EB6" w14:textId="77777777" w:rsidR="00C81EAA" w:rsidRDefault="00C81EAA">
      <w:pPr>
        <w:spacing w:line="259" w:lineRule="auto"/>
        <w:rPr>
          <w:b/>
          <w:color w:val="000000" w:themeColor="text1"/>
        </w:rPr>
      </w:pPr>
      <w:bookmarkStart w:id="23" w:name="_Hlk86948698"/>
      <w:r>
        <w:rPr>
          <w:b/>
          <w:color w:val="000000" w:themeColor="text1"/>
        </w:rPr>
        <w:br w:type="page"/>
      </w:r>
    </w:p>
    <w:p w14:paraId="76C4EA48" w14:textId="6A1CC3D1" w:rsidR="006172DA" w:rsidRDefault="00187FE5" w:rsidP="00191E6E">
      <w:pPr>
        <w:rPr>
          <w:b/>
          <w:color w:val="000000" w:themeColor="text1"/>
        </w:rPr>
      </w:pPr>
      <w:r w:rsidRPr="003265FC">
        <w:rPr>
          <w:b/>
          <w:color w:val="000000" w:themeColor="text1"/>
        </w:rPr>
        <w:lastRenderedPageBreak/>
        <w:t>T</w:t>
      </w:r>
      <w:r w:rsidR="00616047">
        <w:rPr>
          <w:b/>
          <w:color w:val="000000" w:themeColor="text1"/>
        </w:rPr>
        <w:t>able</w:t>
      </w:r>
      <w:r w:rsidRPr="003265FC">
        <w:rPr>
          <w:b/>
          <w:color w:val="000000" w:themeColor="text1"/>
        </w:rPr>
        <w:t xml:space="preserve"> </w:t>
      </w:r>
      <w:r w:rsidR="00705112" w:rsidRPr="002A77DC">
        <w:rPr>
          <w:b/>
          <w:color w:val="000000" w:themeColor="text1"/>
        </w:rPr>
        <w:t>3</w:t>
      </w:r>
      <w:r w:rsidRPr="003265FC">
        <w:rPr>
          <w:b/>
          <w:color w:val="000000" w:themeColor="text1"/>
        </w:rPr>
        <w:t xml:space="preserve">: </w:t>
      </w:r>
      <w:r w:rsidR="00495CFD">
        <w:rPr>
          <w:b/>
          <w:color w:val="000000" w:themeColor="text1"/>
        </w:rPr>
        <w:t>2020-2021</w:t>
      </w:r>
      <w:r w:rsidR="006016F8" w:rsidRPr="003265FC">
        <w:rPr>
          <w:b/>
          <w:color w:val="000000" w:themeColor="text1"/>
        </w:rPr>
        <w:t xml:space="preserve"> </w:t>
      </w:r>
      <w:r w:rsidRPr="003265FC">
        <w:rPr>
          <w:b/>
          <w:color w:val="000000" w:themeColor="text1"/>
        </w:rPr>
        <w:t>Participation Rate of All Students</w:t>
      </w:r>
      <w:r w:rsidR="4176D4A2" w:rsidRPr="003265FC">
        <w:rPr>
          <w:b/>
          <w:color w:val="000000" w:themeColor="text1"/>
        </w:rPr>
        <w:t xml:space="preserve"> and Students with Disabilities</w:t>
      </w:r>
      <w:r w:rsidR="00EC3EB2" w:rsidRPr="003265FC">
        <w:rPr>
          <w:b/>
          <w:color w:val="000000" w:themeColor="text1"/>
        </w:rPr>
        <w:t xml:space="preserve"> (Grades 3-8 and High School)</w:t>
      </w:r>
      <w:bookmarkEnd w:id="23"/>
    </w:p>
    <w:tbl>
      <w:tblPr>
        <w:tblStyle w:val="TableGrid"/>
        <w:tblW w:w="0" w:type="auto"/>
        <w:tblLook w:val="04A0" w:firstRow="1" w:lastRow="0" w:firstColumn="1" w:lastColumn="0" w:noHBand="0" w:noVBand="1"/>
        <w:tblCaption w:val="2020-2021 Participation Rate of All Students and Students with Disabilities (Grades 3-8 and High School)"/>
        <w:tblDescription w:val="Data in Table 3 indicate that the Department measured achievement of 93.5 percent of all students and 91.3 percent of students with disabilities enrolled in grades and courses for which an assessment is required. The Department measured achievement of less than 95 percent of students in the students with disabilities subgroup enrolled in grades and courses for which an assessment is required. "/>
      </w:tblPr>
      <w:tblGrid>
        <w:gridCol w:w="1304"/>
        <w:gridCol w:w="1191"/>
        <w:gridCol w:w="1190"/>
        <w:gridCol w:w="1719"/>
        <w:gridCol w:w="1617"/>
        <w:gridCol w:w="1797"/>
        <w:gridCol w:w="1972"/>
      </w:tblGrid>
      <w:tr w:rsidR="008F6CA4" w:rsidRPr="008F6CA4" w14:paraId="27B69F85" w14:textId="77777777" w:rsidTr="00C81EAA">
        <w:trPr>
          <w:trHeight w:val="373"/>
        </w:trPr>
        <w:tc>
          <w:tcPr>
            <w:tcW w:w="1304" w:type="dxa"/>
            <w:shd w:val="clear" w:color="auto" w:fill="BDD6EE" w:themeFill="accent5" w:themeFillTint="66"/>
            <w:noWrap/>
            <w:vAlign w:val="center"/>
            <w:hideMark/>
          </w:tcPr>
          <w:p w14:paraId="6315BC3A" w14:textId="77777777" w:rsidR="008F6CA4" w:rsidRPr="00C81EAA" w:rsidRDefault="008F6CA4" w:rsidP="00027561">
            <w:pPr>
              <w:pStyle w:val="Heading2"/>
              <w:spacing w:after="0" w:line="240" w:lineRule="auto"/>
              <w:outlineLvl w:val="1"/>
              <w:rPr>
                <w:b/>
                <w:bCs/>
              </w:rPr>
            </w:pPr>
            <w:bookmarkStart w:id="24" w:name="Participation_Rate"/>
            <w:bookmarkStart w:id="25" w:name="Participation_Rate_2020_2021"/>
            <w:bookmarkStart w:id="26" w:name="_Toc524527559"/>
            <w:bookmarkStart w:id="27" w:name="_Toc20039349"/>
            <w:r w:rsidRPr="00C81EAA">
              <w:rPr>
                <w:b/>
                <w:bCs/>
              </w:rPr>
              <w:t>Subject</w:t>
            </w:r>
          </w:p>
        </w:tc>
        <w:tc>
          <w:tcPr>
            <w:tcW w:w="1191" w:type="dxa"/>
            <w:shd w:val="clear" w:color="auto" w:fill="BDD6EE" w:themeFill="accent5" w:themeFillTint="66"/>
            <w:vAlign w:val="center"/>
            <w:hideMark/>
          </w:tcPr>
          <w:p w14:paraId="53E2F57B" w14:textId="77777777" w:rsidR="008F6CA4" w:rsidRPr="00C81EAA" w:rsidRDefault="008F6CA4" w:rsidP="00027561">
            <w:pPr>
              <w:pStyle w:val="Heading2"/>
              <w:spacing w:after="0" w:line="240" w:lineRule="auto"/>
              <w:outlineLvl w:val="1"/>
              <w:rPr>
                <w:b/>
                <w:bCs/>
              </w:rPr>
            </w:pPr>
            <w:r w:rsidRPr="00C81EAA">
              <w:rPr>
                <w:b/>
                <w:bCs/>
              </w:rPr>
              <w:t>Students Tested</w:t>
            </w:r>
          </w:p>
        </w:tc>
        <w:tc>
          <w:tcPr>
            <w:tcW w:w="1190" w:type="dxa"/>
            <w:shd w:val="clear" w:color="auto" w:fill="BDD6EE" w:themeFill="accent5" w:themeFillTint="66"/>
            <w:vAlign w:val="center"/>
            <w:hideMark/>
          </w:tcPr>
          <w:p w14:paraId="44F0458D" w14:textId="77777777" w:rsidR="008F6CA4" w:rsidRPr="00C81EAA" w:rsidRDefault="008F6CA4" w:rsidP="00027561">
            <w:pPr>
              <w:pStyle w:val="Heading2"/>
              <w:spacing w:after="0" w:line="240" w:lineRule="auto"/>
              <w:outlineLvl w:val="1"/>
              <w:rPr>
                <w:b/>
                <w:bCs/>
              </w:rPr>
            </w:pPr>
            <w:r w:rsidRPr="00C81EAA">
              <w:rPr>
                <w:b/>
                <w:bCs/>
              </w:rPr>
              <w:t>Students Required to Test</w:t>
            </w:r>
          </w:p>
        </w:tc>
        <w:tc>
          <w:tcPr>
            <w:tcW w:w="1719" w:type="dxa"/>
            <w:shd w:val="clear" w:color="auto" w:fill="BDD6EE" w:themeFill="accent5" w:themeFillTint="66"/>
            <w:vAlign w:val="center"/>
            <w:hideMark/>
          </w:tcPr>
          <w:p w14:paraId="50A91235" w14:textId="5828105F" w:rsidR="008F6CA4" w:rsidRPr="00C81EAA" w:rsidRDefault="000F165A" w:rsidP="00027561">
            <w:pPr>
              <w:pStyle w:val="Heading2"/>
              <w:spacing w:after="0" w:line="240" w:lineRule="auto"/>
              <w:outlineLvl w:val="1"/>
              <w:rPr>
                <w:b/>
                <w:bCs/>
              </w:rPr>
            </w:pPr>
            <w:r w:rsidRPr="00C81EAA">
              <w:rPr>
                <w:b/>
                <w:bCs/>
              </w:rPr>
              <w:t xml:space="preserve">Assessment </w:t>
            </w:r>
            <w:r w:rsidR="006C51CC" w:rsidRPr="00C81EAA">
              <w:rPr>
                <w:b/>
                <w:bCs/>
              </w:rPr>
              <w:t>Participation Rate</w:t>
            </w:r>
            <w:r w:rsidR="008F6CA4" w:rsidRPr="00C81EAA">
              <w:rPr>
                <w:b/>
                <w:bCs/>
              </w:rPr>
              <w:t xml:space="preserve"> for All Students</w:t>
            </w:r>
          </w:p>
        </w:tc>
        <w:tc>
          <w:tcPr>
            <w:tcW w:w="1617" w:type="dxa"/>
            <w:shd w:val="clear" w:color="auto" w:fill="BDD6EE" w:themeFill="accent5" w:themeFillTint="66"/>
            <w:vAlign w:val="center"/>
            <w:hideMark/>
          </w:tcPr>
          <w:p w14:paraId="012C48E2" w14:textId="77777777" w:rsidR="008F6CA4" w:rsidRPr="00C81EAA" w:rsidRDefault="008F6CA4" w:rsidP="00027561">
            <w:pPr>
              <w:pStyle w:val="Heading2"/>
              <w:spacing w:after="0" w:line="240" w:lineRule="auto"/>
              <w:outlineLvl w:val="1"/>
              <w:rPr>
                <w:b/>
                <w:bCs/>
              </w:rPr>
            </w:pPr>
            <w:r w:rsidRPr="00C81EAA">
              <w:rPr>
                <w:b/>
                <w:bCs/>
              </w:rPr>
              <w:t>Students with Disabilities Tested</w:t>
            </w:r>
          </w:p>
        </w:tc>
        <w:tc>
          <w:tcPr>
            <w:tcW w:w="1797" w:type="dxa"/>
            <w:shd w:val="clear" w:color="auto" w:fill="BDD6EE" w:themeFill="accent5" w:themeFillTint="66"/>
            <w:vAlign w:val="center"/>
            <w:hideMark/>
          </w:tcPr>
          <w:p w14:paraId="1AF4C079" w14:textId="77777777" w:rsidR="008F6CA4" w:rsidRPr="00C81EAA" w:rsidRDefault="008F6CA4" w:rsidP="00027561">
            <w:pPr>
              <w:pStyle w:val="Heading2"/>
              <w:spacing w:after="0" w:line="240" w:lineRule="auto"/>
              <w:outlineLvl w:val="1"/>
              <w:rPr>
                <w:b/>
                <w:bCs/>
              </w:rPr>
            </w:pPr>
            <w:r w:rsidRPr="00C81EAA">
              <w:rPr>
                <w:b/>
                <w:bCs/>
              </w:rPr>
              <w:t>Students with Disabilities Required to Test</w:t>
            </w:r>
          </w:p>
        </w:tc>
        <w:tc>
          <w:tcPr>
            <w:tcW w:w="1972" w:type="dxa"/>
            <w:shd w:val="clear" w:color="auto" w:fill="BDD6EE" w:themeFill="accent5" w:themeFillTint="66"/>
            <w:vAlign w:val="center"/>
            <w:hideMark/>
          </w:tcPr>
          <w:p w14:paraId="3A88A88B" w14:textId="0A14D8ED" w:rsidR="008F6CA4" w:rsidRPr="00C81EAA" w:rsidRDefault="002552AA" w:rsidP="00027561">
            <w:pPr>
              <w:pStyle w:val="Heading2"/>
              <w:spacing w:after="0" w:line="240" w:lineRule="auto"/>
              <w:outlineLvl w:val="1"/>
              <w:rPr>
                <w:b/>
                <w:bCs/>
              </w:rPr>
            </w:pPr>
            <w:r w:rsidRPr="00C81EAA">
              <w:rPr>
                <w:b/>
                <w:bCs/>
              </w:rPr>
              <w:t>Assessment Participation Rate</w:t>
            </w:r>
            <w:r w:rsidR="008F6CA4" w:rsidRPr="00C81EAA">
              <w:rPr>
                <w:b/>
                <w:bCs/>
              </w:rPr>
              <w:t xml:space="preserve"> for Students with Disabilities</w:t>
            </w:r>
          </w:p>
        </w:tc>
      </w:tr>
      <w:tr w:rsidR="008F6CA4" w:rsidRPr="008F6CA4" w14:paraId="348BE3ED" w14:textId="77777777" w:rsidTr="00C81EAA">
        <w:trPr>
          <w:trHeight w:val="315"/>
        </w:trPr>
        <w:tc>
          <w:tcPr>
            <w:tcW w:w="1304" w:type="dxa"/>
            <w:shd w:val="clear" w:color="auto" w:fill="DEEAF6" w:themeFill="accent5" w:themeFillTint="33"/>
            <w:noWrap/>
            <w:vAlign w:val="center"/>
            <w:hideMark/>
          </w:tcPr>
          <w:p w14:paraId="24128A55" w14:textId="77777777" w:rsidR="008F6CA4" w:rsidRPr="008F6CA4" w:rsidRDefault="008F6CA4" w:rsidP="00273760">
            <w:pPr>
              <w:pStyle w:val="Heading2"/>
              <w:outlineLvl w:val="1"/>
            </w:pPr>
            <w:r w:rsidRPr="008F6CA4">
              <w:t>Reading</w:t>
            </w:r>
          </w:p>
        </w:tc>
        <w:tc>
          <w:tcPr>
            <w:tcW w:w="1191" w:type="dxa"/>
            <w:shd w:val="clear" w:color="auto" w:fill="DEEAF6" w:themeFill="accent5" w:themeFillTint="33"/>
            <w:noWrap/>
            <w:vAlign w:val="center"/>
            <w:hideMark/>
          </w:tcPr>
          <w:p w14:paraId="7651B09F" w14:textId="79319DD3" w:rsidR="008F6CA4" w:rsidRPr="007D07E3" w:rsidRDefault="008F6CA4" w:rsidP="00273760">
            <w:pPr>
              <w:pStyle w:val="Heading2"/>
              <w:outlineLvl w:val="1"/>
            </w:pPr>
            <w:r w:rsidRPr="007D07E3">
              <w:t>840,162</w:t>
            </w:r>
          </w:p>
        </w:tc>
        <w:tc>
          <w:tcPr>
            <w:tcW w:w="1190" w:type="dxa"/>
            <w:shd w:val="clear" w:color="auto" w:fill="DEEAF6" w:themeFill="accent5" w:themeFillTint="33"/>
            <w:noWrap/>
            <w:vAlign w:val="center"/>
            <w:hideMark/>
          </w:tcPr>
          <w:p w14:paraId="36F1CA7C" w14:textId="0435FF96" w:rsidR="008F6CA4" w:rsidRPr="007D07E3" w:rsidRDefault="008F6CA4" w:rsidP="00273760">
            <w:pPr>
              <w:pStyle w:val="Heading2"/>
              <w:outlineLvl w:val="1"/>
            </w:pPr>
            <w:r w:rsidRPr="007D07E3">
              <w:t>892,950</w:t>
            </w:r>
          </w:p>
        </w:tc>
        <w:tc>
          <w:tcPr>
            <w:tcW w:w="1719" w:type="dxa"/>
            <w:shd w:val="clear" w:color="auto" w:fill="DEEAF6" w:themeFill="accent5" w:themeFillTint="33"/>
            <w:noWrap/>
            <w:vAlign w:val="center"/>
            <w:hideMark/>
          </w:tcPr>
          <w:p w14:paraId="74F1C14C" w14:textId="77777777" w:rsidR="008F6CA4" w:rsidRPr="00273760" w:rsidRDefault="008F6CA4" w:rsidP="00273760">
            <w:pPr>
              <w:pStyle w:val="Heading2"/>
              <w:outlineLvl w:val="1"/>
            </w:pPr>
            <w:r w:rsidRPr="00273760">
              <w:t>94.09%</w:t>
            </w:r>
          </w:p>
        </w:tc>
        <w:tc>
          <w:tcPr>
            <w:tcW w:w="1617" w:type="dxa"/>
            <w:shd w:val="clear" w:color="auto" w:fill="DEEAF6" w:themeFill="accent5" w:themeFillTint="33"/>
            <w:noWrap/>
            <w:vAlign w:val="center"/>
            <w:hideMark/>
          </w:tcPr>
          <w:p w14:paraId="79918109" w14:textId="5CD2AF92" w:rsidR="008F6CA4" w:rsidRPr="007D07E3" w:rsidRDefault="001C0371" w:rsidP="00273760">
            <w:pPr>
              <w:pStyle w:val="Heading2"/>
              <w:outlineLvl w:val="1"/>
            </w:pPr>
            <w:r w:rsidRPr="007D07E3">
              <w:t>131</w:t>
            </w:r>
            <w:r w:rsidR="00285933">
              <w:t>,</w:t>
            </w:r>
            <w:r w:rsidRPr="007D07E3">
              <w:t>821</w:t>
            </w:r>
          </w:p>
        </w:tc>
        <w:tc>
          <w:tcPr>
            <w:tcW w:w="1797" w:type="dxa"/>
            <w:shd w:val="clear" w:color="auto" w:fill="DEEAF6" w:themeFill="accent5" w:themeFillTint="33"/>
            <w:noWrap/>
            <w:vAlign w:val="center"/>
            <w:hideMark/>
          </w:tcPr>
          <w:p w14:paraId="5E101CFF" w14:textId="70159BB5" w:rsidR="008F6CA4" w:rsidRPr="008F6CA4" w:rsidRDefault="008F6CA4" w:rsidP="00273760">
            <w:pPr>
              <w:pStyle w:val="Heading2"/>
              <w:outlineLvl w:val="1"/>
            </w:pPr>
            <w:r w:rsidRPr="008F6CA4">
              <w:t>143,194</w:t>
            </w:r>
          </w:p>
        </w:tc>
        <w:tc>
          <w:tcPr>
            <w:tcW w:w="1972" w:type="dxa"/>
            <w:shd w:val="clear" w:color="auto" w:fill="DEEAF6" w:themeFill="accent5" w:themeFillTint="33"/>
            <w:noWrap/>
            <w:vAlign w:val="center"/>
            <w:hideMark/>
          </w:tcPr>
          <w:p w14:paraId="2B353DAD" w14:textId="77777777" w:rsidR="008F6CA4" w:rsidRPr="008F6CA4" w:rsidRDefault="008F6CA4" w:rsidP="00273760">
            <w:pPr>
              <w:pStyle w:val="Heading2"/>
              <w:outlineLvl w:val="1"/>
            </w:pPr>
            <w:r w:rsidRPr="008F6CA4">
              <w:t>92.06%</w:t>
            </w:r>
          </w:p>
        </w:tc>
      </w:tr>
      <w:tr w:rsidR="008F6CA4" w:rsidRPr="008F6CA4" w14:paraId="461E7400" w14:textId="77777777" w:rsidTr="00C81EAA">
        <w:trPr>
          <w:trHeight w:val="315"/>
        </w:trPr>
        <w:tc>
          <w:tcPr>
            <w:tcW w:w="1304" w:type="dxa"/>
            <w:noWrap/>
            <w:vAlign w:val="center"/>
            <w:hideMark/>
          </w:tcPr>
          <w:p w14:paraId="75B3B8E9" w14:textId="77777777" w:rsidR="008F6CA4" w:rsidRPr="008F6CA4" w:rsidRDefault="008F6CA4" w:rsidP="00273760">
            <w:pPr>
              <w:pStyle w:val="Heading2"/>
              <w:outlineLvl w:val="1"/>
            </w:pPr>
            <w:r w:rsidRPr="008F6CA4">
              <w:t>Math</w:t>
            </w:r>
          </w:p>
        </w:tc>
        <w:tc>
          <w:tcPr>
            <w:tcW w:w="1191" w:type="dxa"/>
            <w:noWrap/>
            <w:vAlign w:val="center"/>
            <w:hideMark/>
          </w:tcPr>
          <w:p w14:paraId="0AC9BD3B" w14:textId="0631E546" w:rsidR="008F6CA4" w:rsidRPr="007D07E3" w:rsidRDefault="008F6CA4" w:rsidP="00273760">
            <w:pPr>
              <w:pStyle w:val="Heading2"/>
              <w:outlineLvl w:val="1"/>
            </w:pPr>
            <w:r w:rsidRPr="007D07E3">
              <w:t>821,712</w:t>
            </w:r>
          </w:p>
        </w:tc>
        <w:tc>
          <w:tcPr>
            <w:tcW w:w="1190" w:type="dxa"/>
            <w:noWrap/>
            <w:vAlign w:val="center"/>
            <w:hideMark/>
          </w:tcPr>
          <w:p w14:paraId="786D3A33" w14:textId="74A8D40B" w:rsidR="008F6CA4" w:rsidRPr="007D07E3" w:rsidRDefault="008F6CA4" w:rsidP="00273760">
            <w:pPr>
              <w:pStyle w:val="Heading2"/>
              <w:outlineLvl w:val="1"/>
            </w:pPr>
            <w:r w:rsidRPr="007D07E3">
              <w:t>879,672</w:t>
            </w:r>
          </w:p>
        </w:tc>
        <w:tc>
          <w:tcPr>
            <w:tcW w:w="1719" w:type="dxa"/>
            <w:noWrap/>
            <w:vAlign w:val="center"/>
            <w:hideMark/>
          </w:tcPr>
          <w:p w14:paraId="115EB875" w14:textId="77777777" w:rsidR="008F6CA4" w:rsidRPr="008F6CA4" w:rsidRDefault="008F6CA4" w:rsidP="00273760">
            <w:pPr>
              <w:pStyle w:val="Heading2"/>
              <w:outlineLvl w:val="1"/>
            </w:pPr>
            <w:r w:rsidRPr="008F6CA4">
              <w:t>93.41%</w:t>
            </w:r>
          </w:p>
        </w:tc>
        <w:tc>
          <w:tcPr>
            <w:tcW w:w="1617" w:type="dxa"/>
            <w:noWrap/>
            <w:vAlign w:val="center"/>
            <w:hideMark/>
          </w:tcPr>
          <w:p w14:paraId="79D712C7" w14:textId="77777777" w:rsidR="008F6CA4" w:rsidRPr="007D07E3" w:rsidRDefault="008F6CA4" w:rsidP="00273760">
            <w:pPr>
              <w:pStyle w:val="Heading2"/>
              <w:outlineLvl w:val="1"/>
            </w:pPr>
            <w:r w:rsidRPr="007D07E3">
              <w:t>128,918</w:t>
            </w:r>
          </w:p>
        </w:tc>
        <w:tc>
          <w:tcPr>
            <w:tcW w:w="1797" w:type="dxa"/>
            <w:noWrap/>
            <w:vAlign w:val="center"/>
            <w:hideMark/>
          </w:tcPr>
          <w:p w14:paraId="4AF857ED" w14:textId="77777777" w:rsidR="008F6CA4" w:rsidRPr="008F6CA4" w:rsidRDefault="008F6CA4" w:rsidP="00273760">
            <w:pPr>
              <w:pStyle w:val="Heading2"/>
              <w:outlineLvl w:val="1"/>
            </w:pPr>
            <w:r w:rsidRPr="008F6CA4">
              <w:t>141,197</w:t>
            </w:r>
          </w:p>
        </w:tc>
        <w:tc>
          <w:tcPr>
            <w:tcW w:w="1972" w:type="dxa"/>
            <w:noWrap/>
            <w:vAlign w:val="center"/>
            <w:hideMark/>
          </w:tcPr>
          <w:p w14:paraId="3451EDD9" w14:textId="77777777" w:rsidR="008F6CA4" w:rsidRPr="008F6CA4" w:rsidRDefault="008F6CA4" w:rsidP="00273760">
            <w:pPr>
              <w:pStyle w:val="Heading2"/>
              <w:outlineLvl w:val="1"/>
            </w:pPr>
            <w:r w:rsidRPr="008F6CA4">
              <w:t>91.30%</w:t>
            </w:r>
          </w:p>
        </w:tc>
      </w:tr>
      <w:tr w:rsidR="008F6CA4" w:rsidRPr="008F6CA4" w14:paraId="07D202E0" w14:textId="77777777" w:rsidTr="00C81EAA">
        <w:trPr>
          <w:trHeight w:val="315"/>
        </w:trPr>
        <w:tc>
          <w:tcPr>
            <w:tcW w:w="1304" w:type="dxa"/>
            <w:shd w:val="clear" w:color="auto" w:fill="DEEAF6" w:themeFill="accent5" w:themeFillTint="33"/>
            <w:noWrap/>
            <w:vAlign w:val="center"/>
            <w:hideMark/>
          </w:tcPr>
          <w:p w14:paraId="1954F97F" w14:textId="77777777" w:rsidR="008F6CA4" w:rsidRPr="008F6CA4" w:rsidRDefault="008F6CA4" w:rsidP="00273760">
            <w:pPr>
              <w:pStyle w:val="Heading2"/>
              <w:outlineLvl w:val="1"/>
            </w:pPr>
            <w:r w:rsidRPr="008F6CA4">
              <w:t>Science</w:t>
            </w:r>
          </w:p>
        </w:tc>
        <w:tc>
          <w:tcPr>
            <w:tcW w:w="1191" w:type="dxa"/>
            <w:shd w:val="clear" w:color="auto" w:fill="DEEAF6" w:themeFill="accent5" w:themeFillTint="33"/>
            <w:noWrap/>
            <w:vAlign w:val="center"/>
            <w:hideMark/>
          </w:tcPr>
          <w:p w14:paraId="6BF43A47" w14:textId="012C4599" w:rsidR="008F6CA4" w:rsidRPr="007D07E3" w:rsidRDefault="008F6CA4" w:rsidP="00273760">
            <w:pPr>
              <w:pStyle w:val="Heading2"/>
              <w:outlineLvl w:val="1"/>
            </w:pPr>
            <w:r w:rsidRPr="007D07E3">
              <w:t>360,426</w:t>
            </w:r>
          </w:p>
        </w:tc>
        <w:tc>
          <w:tcPr>
            <w:tcW w:w="1190" w:type="dxa"/>
            <w:shd w:val="clear" w:color="auto" w:fill="DEEAF6" w:themeFill="accent5" w:themeFillTint="33"/>
            <w:noWrap/>
            <w:vAlign w:val="center"/>
            <w:hideMark/>
          </w:tcPr>
          <w:p w14:paraId="136C9807" w14:textId="54D66F6D" w:rsidR="008F6CA4" w:rsidRPr="007D07E3" w:rsidRDefault="008F6CA4" w:rsidP="00273760">
            <w:pPr>
              <w:pStyle w:val="Heading2"/>
              <w:outlineLvl w:val="1"/>
            </w:pPr>
            <w:r w:rsidRPr="007D07E3">
              <w:t>388,238</w:t>
            </w:r>
          </w:p>
        </w:tc>
        <w:tc>
          <w:tcPr>
            <w:tcW w:w="1719" w:type="dxa"/>
            <w:shd w:val="clear" w:color="auto" w:fill="DEEAF6" w:themeFill="accent5" w:themeFillTint="33"/>
            <w:noWrap/>
            <w:vAlign w:val="center"/>
            <w:hideMark/>
          </w:tcPr>
          <w:p w14:paraId="4810FD1D" w14:textId="77777777" w:rsidR="008F6CA4" w:rsidRPr="008F6CA4" w:rsidRDefault="008F6CA4" w:rsidP="00273760">
            <w:pPr>
              <w:pStyle w:val="Heading2"/>
              <w:outlineLvl w:val="1"/>
            </w:pPr>
            <w:r w:rsidRPr="008F6CA4">
              <w:t>92.84%</w:t>
            </w:r>
          </w:p>
        </w:tc>
        <w:tc>
          <w:tcPr>
            <w:tcW w:w="1617" w:type="dxa"/>
            <w:shd w:val="clear" w:color="auto" w:fill="DEEAF6" w:themeFill="accent5" w:themeFillTint="33"/>
            <w:noWrap/>
            <w:vAlign w:val="center"/>
            <w:hideMark/>
          </w:tcPr>
          <w:p w14:paraId="4ECB20B2" w14:textId="77777777" w:rsidR="008F6CA4" w:rsidRPr="007D07E3" w:rsidRDefault="008F6CA4" w:rsidP="00273760">
            <w:pPr>
              <w:pStyle w:val="Heading2"/>
              <w:outlineLvl w:val="1"/>
            </w:pPr>
            <w:r w:rsidRPr="007D07E3">
              <w:t>55,691</w:t>
            </w:r>
          </w:p>
        </w:tc>
        <w:tc>
          <w:tcPr>
            <w:tcW w:w="1797" w:type="dxa"/>
            <w:shd w:val="clear" w:color="auto" w:fill="DEEAF6" w:themeFill="accent5" w:themeFillTint="33"/>
            <w:noWrap/>
            <w:vAlign w:val="center"/>
            <w:hideMark/>
          </w:tcPr>
          <w:p w14:paraId="61B21A5D" w14:textId="77777777" w:rsidR="008F6CA4" w:rsidRPr="008F6CA4" w:rsidRDefault="008F6CA4" w:rsidP="00273760">
            <w:pPr>
              <w:pStyle w:val="Heading2"/>
              <w:outlineLvl w:val="1"/>
            </w:pPr>
            <w:r w:rsidRPr="008F6CA4">
              <w:t>61,883</w:t>
            </w:r>
          </w:p>
        </w:tc>
        <w:tc>
          <w:tcPr>
            <w:tcW w:w="1972" w:type="dxa"/>
            <w:shd w:val="clear" w:color="auto" w:fill="DEEAF6" w:themeFill="accent5" w:themeFillTint="33"/>
            <w:noWrap/>
            <w:vAlign w:val="center"/>
            <w:hideMark/>
          </w:tcPr>
          <w:p w14:paraId="08AA497D" w14:textId="77777777" w:rsidR="008F6CA4" w:rsidRPr="00464DFF" w:rsidRDefault="008F6CA4" w:rsidP="00273760">
            <w:pPr>
              <w:pStyle w:val="Heading2"/>
              <w:outlineLvl w:val="1"/>
            </w:pPr>
            <w:r w:rsidRPr="00464DFF">
              <w:t>89.99%</w:t>
            </w:r>
          </w:p>
        </w:tc>
      </w:tr>
      <w:bookmarkEnd w:id="24"/>
      <w:bookmarkEnd w:id="25"/>
    </w:tbl>
    <w:p w14:paraId="540E6C8D" w14:textId="26E4038A" w:rsidR="00DC160E" w:rsidRDefault="00DC160E" w:rsidP="00273760">
      <w:pPr>
        <w:pStyle w:val="Heading2"/>
      </w:pPr>
    </w:p>
    <w:p w14:paraId="14689083" w14:textId="02D12FF5" w:rsidR="00797C4F" w:rsidRDefault="00797C4F" w:rsidP="00797C4F">
      <w:r w:rsidRPr="006E0D08">
        <w:rPr>
          <w:b/>
          <w:color w:val="000000" w:themeColor="text1"/>
        </w:rPr>
        <w:t xml:space="preserve">Table </w:t>
      </w:r>
      <w:r>
        <w:rPr>
          <w:b/>
          <w:color w:val="000000" w:themeColor="text1"/>
        </w:rPr>
        <w:t>4</w:t>
      </w:r>
      <w:r w:rsidRPr="006E0D08">
        <w:rPr>
          <w:b/>
          <w:color w:val="000000" w:themeColor="text1"/>
        </w:rPr>
        <w:t xml:space="preserve">: </w:t>
      </w:r>
      <w:r>
        <w:rPr>
          <w:b/>
          <w:color w:val="000000" w:themeColor="text1"/>
        </w:rPr>
        <w:t>2018-2019</w:t>
      </w:r>
      <w:r w:rsidRPr="006E0D08">
        <w:rPr>
          <w:b/>
          <w:color w:val="000000" w:themeColor="text1"/>
        </w:rPr>
        <w:t xml:space="preserve"> Participation Rate of All Students and Students with Disabilities (Grades 3-8 and High School)</w:t>
      </w:r>
    </w:p>
    <w:tbl>
      <w:tblPr>
        <w:tblStyle w:val="TableGrid"/>
        <w:tblW w:w="0" w:type="auto"/>
        <w:tblLook w:val="04A0" w:firstRow="1" w:lastRow="0" w:firstColumn="1" w:lastColumn="0" w:noHBand="0" w:noVBand="1"/>
        <w:tblCaption w:val="2018-2019 Participation Rate of All of All Students and Students with Disabilities (Grades 3-8 &amp; high school)"/>
        <w:tblDescription w:val="This table shows the participation rate of students with disabilities in the reading, mathematics, and science assessments during the 2018-2019 school year. In the reading assessment, 99% of students with disabilities participated. In mathematics, 98.76% of students with disabilities participated. In science, 98.02% of students with disabilities participated. "/>
      </w:tblPr>
      <w:tblGrid>
        <w:gridCol w:w="1341"/>
        <w:gridCol w:w="1170"/>
        <w:gridCol w:w="1174"/>
        <w:gridCol w:w="1723"/>
        <w:gridCol w:w="1617"/>
        <w:gridCol w:w="1795"/>
        <w:gridCol w:w="1970"/>
      </w:tblGrid>
      <w:tr w:rsidR="00797C4F" w14:paraId="039F9A74" w14:textId="77777777" w:rsidTr="00052FD3">
        <w:trPr>
          <w:trHeight w:val="1255"/>
        </w:trPr>
        <w:tc>
          <w:tcPr>
            <w:tcW w:w="1341" w:type="dxa"/>
            <w:shd w:val="clear" w:color="auto" w:fill="BDD6EE" w:themeFill="accent5" w:themeFillTint="66"/>
            <w:vAlign w:val="center"/>
          </w:tcPr>
          <w:p w14:paraId="51F5809A" w14:textId="77777777" w:rsidR="00797C4F" w:rsidRPr="00052FD3" w:rsidRDefault="00797C4F" w:rsidP="00027561">
            <w:pPr>
              <w:spacing w:line="240" w:lineRule="auto"/>
              <w:jc w:val="center"/>
              <w:rPr>
                <w:b/>
                <w:color w:val="000000" w:themeColor="text1"/>
              </w:rPr>
            </w:pPr>
            <w:bookmarkStart w:id="28" w:name="Participation_Rate_2018_2019"/>
            <w:r w:rsidRPr="00052FD3">
              <w:rPr>
                <w:b/>
                <w:color w:val="000000" w:themeColor="text1"/>
              </w:rPr>
              <w:t>Subject</w:t>
            </w:r>
          </w:p>
        </w:tc>
        <w:tc>
          <w:tcPr>
            <w:tcW w:w="1170" w:type="dxa"/>
            <w:shd w:val="clear" w:color="auto" w:fill="BDD6EE" w:themeFill="accent5" w:themeFillTint="66"/>
            <w:vAlign w:val="center"/>
          </w:tcPr>
          <w:p w14:paraId="5253726E" w14:textId="77777777" w:rsidR="00797C4F" w:rsidRPr="00052FD3" w:rsidRDefault="00797C4F" w:rsidP="00027561">
            <w:pPr>
              <w:spacing w:line="240" w:lineRule="auto"/>
              <w:jc w:val="center"/>
              <w:rPr>
                <w:b/>
                <w:color w:val="000000" w:themeColor="text1"/>
              </w:rPr>
            </w:pPr>
            <w:r w:rsidRPr="00052FD3">
              <w:rPr>
                <w:b/>
                <w:color w:val="000000" w:themeColor="text1"/>
              </w:rPr>
              <w:t>Students Tested</w:t>
            </w:r>
          </w:p>
        </w:tc>
        <w:tc>
          <w:tcPr>
            <w:tcW w:w="1174" w:type="dxa"/>
            <w:shd w:val="clear" w:color="auto" w:fill="BDD6EE" w:themeFill="accent5" w:themeFillTint="66"/>
            <w:vAlign w:val="center"/>
          </w:tcPr>
          <w:p w14:paraId="6659C1AC" w14:textId="77777777" w:rsidR="00797C4F" w:rsidRPr="00052FD3" w:rsidRDefault="00797C4F" w:rsidP="00027561">
            <w:pPr>
              <w:spacing w:line="240" w:lineRule="auto"/>
              <w:jc w:val="center"/>
              <w:rPr>
                <w:b/>
                <w:color w:val="000000" w:themeColor="text1"/>
              </w:rPr>
            </w:pPr>
            <w:r w:rsidRPr="00052FD3">
              <w:rPr>
                <w:b/>
                <w:color w:val="000000" w:themeColor="text1"/>
              </w:rPr>
              <w:t>Students Required to Test</w:t>
            </w:r>
          </w:p>
        </w:tc>
        <w:tc>
          <w:tcPr>
            <w:tcW w:w="1723" w:type="dxa"/>
            <w:shd w:val="clear" w:color="auto" w:fill="BDD6EE" w:themeFill="accent5" w:themeFillTint="66"/>
            <w:vAlign w:val="center"/>
          </w:tcPr>
          <w:p w14:paraId="1C67C9EA" w14:textId="77777777" w:rsidR="00797C4F" w:rsidRPr="00052FD3" w:rsidRDefault="00797C4F" w:rsidP="00027561">
            <w:pPr>
              <w:spacing w:line="240" w:lineRule="auto"/>
              <w:jc w:val="center"/>
              <w:rPr>
                <w:b/>
                <w:color w:val="000000" w:themeColor="text1"/>
              </w:rPr>
            </w:pPr>
            <w:r w:rsidRPr="00052FD3">
              <w:rPr>
                <w:b/>
                <w:color w:val="000000" w:themeColor="text1"/>
              </w:rPr>
              <w:t>Assessment Participation Rate for All Students</w:t>
            </w:r>
          </w:p>
        </w:tc>
        <w:tc>
          <w:tcPr>
            <w:tcW w:w="1617" w:type="dxa"/>
            <w:shd w:val="clear" w:color="auto" w:fill="BDD6EE" w:themeFill="accent5" w:themeFillTint="66"/>
            <w:vAlign w:val="center"/>
          </w:tcPr>
          <w:p w14:paraId="54B9D519" w14:textId="77777777" w:rsidR="00797C4F" w:rsidRPr="00052FD3" w:rsidRDefault="00797C4F" w:rsidP="00027561">
            <w:pPr>
              <w:spacing w:line="240" w:lineRule="auto"/>
              <w:jc w:val="center"/>
              <w:rPr>
                <w:b/>
                <w:color w:val="000000" w:themeColor="text1"/>
              </w:rPr>
            </w:pPr>
            <w:r w:rsidRPr="00052FD3">
              <w:rPr>
                <w:b/>
                <w:color w:val="000000" w:themeColor="text1"/>
              </w:rPr>
              <w:t>Students with Disabilities Tested</w:t>
            </w:r>
          </w:p>
        </w:tc>
        <w:tc>
          <w:tcPr>
            <w:tcW w:w="1795" w:type="dxa"/>
            <w:shd w:val="clear" w:color="auto" w:fill="BDD6EE" w:themeFill="accent5" w:themeFillTint="66"/>
            <w:vAlign w:val="center"/>
          </w:tcPr>
          <w:p w14:paraId="7830F7AC" w14:textId="77777777" w:rsidR="00797C4F" w:rsidRPr="00052FD3" w:rsidRDefault="00797C4F" w:rsidP="00027561">
            <w:pPr>
              <w:spacing w:line="240" w:lineRule="auto"/>
              <w:jc w:val="center"/>
              <w:rPr>
                <w:b/>
                <w:color w:val="000000" w:themeColor="text1"/>
              </w:rPr>
            </w:pPr>
            <w:r w:rsidRPr="00052FD3">
              <w:rPr>
                <w:b/>
                <w:color w:val="000000" w:themeColor="text1"/>
              </w:rPr>
              <w:t>Students with Disabilities Required to Test</w:t>
            </w:r>
          </w:p>
        </w:tc>
        <w:tc>
          <w:tcPr>
            <w:tcW w:w="1970" w:type="dxa"/>
            <w:shd w:val="clear" w:color="auto" w:fill="BDD6EE" w:themeFill="accent5" w:themeFillTint="66"/>
            <w:vAlign w:val="center"/>
          </w:tcPr>
          <w:p w14:paraId="099A684A" w14:textId="77777777" w:rsidR="00797C4F" w:rsidRPr="00052FD3" w:rsidRDefault="00797C4F" w:rsidP="00027561">
            <w:pPr>
              <w:spacing w:line="240" w:lineRule="auto"/>
              <w:jc w:val="center"/>
              <w:rPr>
                <w:b/>
                <w:color w:val="000000" w:themeColor="text1"/>
              </w:rPr>
            </w:pPr>
            <w:r w:rsidRPr="00052FD3">
              <w:rPr>
                <w:b/>
                <w:color w:val="000000" w:themeColor="text1"/>
              </w:rPr>
              <w:t>Assessment Participation Rate for Students with Disabilities</w:t>
            </w:r>
          </w:p>
        </w:tc>
      </w:tr>
      <w:tr w:rsidR="00797C4F" w14:paraId="1EAC518D" w14:textId="77777777" w:rsidTr="00052FD3">
        <w:tc>
          <w:tcPr>
            <w:tcW w:w="1341" w:type="dxa"/>
            <w:shd w:val="clear" w:color="auto" w:fill="DEEAF6" w:themeFill="accent5" w:themeFillTint="33"/>
            <w:vAlign w:val="center"/>
          </w:tcPr>
          <w:p w14:paraId="1CF51721" w14:textId="77777777" w:rsidR="00797C4F" w:rsidRPr="00153B9C" w:rsidRDefault="00797C4F" w:rsidP="007F1F94">
            <w:pPr>
              <w:jc w:val="center"/>
              <w:rPr>
                <w:bCs/>
                <w:color w:val="000000" w:themeColor="text1"/>
              </w:rPr>
            </w:pPr>
            <w:r w:rsidRPr="00153B9C">
              <w:rPr>
                <w:bCs/>
                <w:color w:val="000000" w:themeColor="text1"/>
              </w:rPr>
              <w:t>Reading</w:t>
            </w:r>
          </w:p>
        </w:tc>
        <w:tc>
          <w:tcPr>
            <w:tcW w:w="1170" w:type="dxa"/>
            <w:shd w:val="clear" w:color="auto" w:fill="DEEAF6" w:themeFill="accent5" w:themeFillTint="33"/>
            <w:vAlign w:val="center"/>
          </w:tcPr>
          <w:p w14:paraId="01850F4E" w14:textId="77777777" w:rsidR="00797C4F" w:rsidRPr="00153B9C" w:rsidRDefault="00797C4F" w:rsidP="007F1F94">
            <w:pPr>
              <w:jc w:val="center"/>
              <w:rPr>
                <w:bCs/>
                <w:color w:val="000000" w:themeColor="text1"/>
              </w:rPr>
            </w:pPr>
            <w:r>
              <w:rPr>
                <w:bCs/>
                <w:color w:val="000000" w:themeColor="text1"/>
              </w:rPr>
              <w:t>911,792</w:t>
            </w:r>
          </w:p>
        </w:tc>
        <w:tc>
          <w:tcPr>
            <w:tcW w:w="1174" w:type="dxa"/>
            <w:shd w:val="clear" w:color="auto" w:fill="DEEAF6" w:themeFill="accent5" w:themeFillTint="33"/>
            <w:vAlign w:val="center"/>
          </w:tcPr>
          <w:p w14:paraId="68A8CD4B" w14:textId="77777777" w:rsidR="00797C4F" w:rsidRPr="00153B9C" w:rsidRDefault="00797C4F" w:rsidP="007F1F94">
            <w:pPr>
              <w:jc w:val="center"/>
              <w:rPr>
                <w:bCs/>
                <w:color w:val="000000" w:themeColor="text1"/>
              </w:rPr>
            </w:pPr>
            <w:r>
              <w:rPr>
                <w:bCs/>
                <w:color w:val="000000" w:themeColor="text1"/>
              </w:rPr>
              <w:t>916,706</w:t>
            </w:r>
          </w:p>
        </w:tc>
        <w:tc>
          <w:tcPr>
            <w:tcW w:w="1723" w:type="dxa"/>
            <w:shd w:val="clear" w:color="auto" w:fill="DEEAF6" w:themeFill="accent5" w:themeFillTint="33"/>
            <w:vAlign w:val="center"/>
          </w:tcPr>
          <w:p w14:paraId="2ED8ABA9" w14:textId="77777777" w:rsidR="00797C4F" w:rsidRPr="00153B9C" w:rsidRDefault="00797C4F" w:rsidP="007F1F94">
            <w:pPr>
              <w:jc w:val="center"/>
              <w:rPr>
                <w:bCs/>
                <w:color w:val="000000" w:themeColor="text1"/>
              </w:rPr>
            </w:pPr>
            <w:r>
              <w:rPr>
                <w:bCs/>
                <w:color w:val="000000" w:themeColor="text1"/>
              </w:rPr>
              <w:t>99.46%</w:t>
            </w:r>
          </w:p>
        </w:tc>
        <w:tc>
          <w:tcPr>
            <w:tcW w:w="1617" w:type="dxa"/>
            <w:shd w:val="clear" w:color="auto" w:fill="DEEAF6" w:themeFill="accent5" w:themeFillTint="33"/>
            <w:vAlign w:val="center"/>
          </w:tcPr>
          <w:p w14:paraId="493E4989" w14:textId="77777777" w:rsidR="00797C4F" w:rsidRPr="00153B9C" w:rsidRDefault="00797C4F" w:rsidP="007F1F94">
            <w:pPr>
              <w:jc w:val="center"/>
              <w:rPr>
                <w:bCs/>
                <w:color w:val="000000" w:themeColor="text1"/>
              </w:rPr>
            </w:pPr>
            <w:r>
              <w:rPr>
                <w:bCs/>
                <w:color w:val="000000" w:themeColor="text1"/>
              </w:rPr>
              <w:t>145,029</w:t>
            </w:r>
          </w:p>
        </w:tc>
        <w:tc>
          <w:tcPr>
            <w:tcW w:w="1795" w:type="dxa"/>
            <w:shd w:val="clear" w:color="auto" w:fill="DEEAF6" w:themeFill="accent5" w:themeFillTint="33"/>
            <w:vAlign w:val="center"/>
          </w:tcPr>
          <w:p w14:paraId="7597F01F" w14:textId="77777777" w:rsidR="00797C4F" w:rsidRPr="00153B9C" w:rsidRDefault="00797C4F" w:rsidP="007F1F94">
            <w:pPr>
              <w:jc w:val="center"/>
              <w:rPr>
                <w:bCs/>
                <w:color w:val="000000" w:themeColor="text1"/>
              </w:rPr>
            </w:pPr>
            <w:r>
              <w:rPr>
                <w:bCs/>
                <w:color w:val="000000" w:themeColor="text1"/>
              </w:rPr>
              <w:t>146,496</w:t>
            </w:r>
          </w:p>
        </w:tc>
        <w:tc>
          <w:tcPr>
            <w:tcW w:w="1970" w:type="dxa"/>
            <w:shd w:val="clear" w:color="auto" w:fill="DEEAF6" w:themeFill="accent5" w:themeFillTint="33"/>
            <w:vAlign w:val="center"/>
          </w:tcPr>
          <w:p w14:paraId="60E3CFEB" w14:textId="77777777" w:rsidR="00797C4F" w:rsidRPr="00153B9C" w:rsidRDefault="00797C4F" w:rsidP="007F1F94">
            <w:pPr>
              <w:jc w:val="center"/>
              <w:rPr>
                <w:bCs/>
                <w:color w:val="000000" w:themeColor="text1"/>
              </w:rPr>
            </w:pPr>
            <w:r>
              <w:rPr>
                <w:bCs/>
                <w:color w:val="000000" w:themeColor="text1"/>
              </w:rPr>
              <w:t>99.00%</w:t>
            </w:r>
          </w:p>
        </w:tc>
      </w:tr>
      <w:tr w:rsidR="007F1F94" w14:paraId="434D0266" w14:textId="77777777" w:rsidTr="00052FD3">
        <w:tc>
          <w:tcPr>
            <w:tcW w:w="1341" w:type="dxa"/>
            <w:vAlign w:val="center"/>
          </w:tcPr>
          <w:p w14:paraId="53C14645" w14:textId="77777777" w:rsidR="00797C4F" w:rsidRPr="00153B9C" w:rsidRDefault="00797C4F" w:rsidP="007F1F94">
            <w:pPr>
              <w:jc w:val="center"/>
              <w:rPr>
                <w:bCs/>
                <w:color w:val="000000" w:themeColor="text1"/>
              </w:rPr>
            </w:pPr>
            <w:r>
              <w:rPr>
                <w:bCs/>
                <w:color w:val="000000" w:themeColor="text1"/>
              </w:rPr>
              <w:t>Math</w:t>
            </w:r>
          </w:p>
        </w:tc>
        <w:tc>
          <w:tcPr>
            <w:tcW w:w="1170" w:type="dxa"/>
            <w:vAlign w:val="center"/>
          </w:tcPr>
          <w:p w14:paraId="38B199D0" w14:textId="77777777" w:rsidR="00797C4F" w:rsidRPr="00153B9C" w:rsidRDefault="00797C4F" w:rsidP="007F1F94">
            <w:pPr>
              <w:jc w:val="center"/>
              <w:rPr>
                <w:bCs/>
                <w:color w:val="000000" w:themeColor="text1"/>
              </w:rPr>
            </w:pPr>
            <w:r>
              <w:rPr>
                <w:bCs/>
                <w:color w:val="000000" w:themeColor="text1"/>
              </w:rPr>
              <w:t>902,878</w:t>
            </w:r>
          </w:p>
        </w:tc>
        <w:tc>
          <w:tcPr>
            <w:tcW w:w="1174" w:type="dxa"/>
            <w:vAlign w:val="center"/>
          </w:tcPr>
          <w:p w14:paraId="106684C0" w14:textId="77777777" w:rsidR="00797C4F" w:rsidRPr="00153B9C" w:rsidRDefault="00797C4F" w:rsidP="007F1F94">
            <w:pPr>
              <w:jc w:val="center"/>
              <w:rPr>
                <w:bCs/>
                <w:color w:val="000000" w:themeColor="text1"/>
              </w:rPr>
            </w:pPr>
            <w:r>
              <w:rPr>
                <w:bCs/>
                <w:color w:val="000000" w:themeColor="text1"/>
              </w:rPr>
              <w:t>908,972</w:t>
            </w:r>
          </w:p>
        </w:tc>
        <w:tc>
          <w:tcPr>
            <w:tcW w:w="1723" w:type="dxa"/>
            <w:vAlign w:val="center"/>
          </w:tcPr>
          <w:p w14:paraId="47FF7877" w14:textId="77777777" w:rsidR="00797C4F" w:rsidRPr="00153B9C" w:rsidRDefault="00797C4F" w:rsidP="007F1F94">
            <w:pPr>
              <w:jc w:val="center"/>
              <w:rPr>
                <w:bCs/>
                <w:color w:val="000000" w:themeColor="text1"/>
              </w:rPr>
            </w:pPr>
            <w:r>
              <w:rPr>
                <w:bCs/>
                <w:color w:val="000000" w:themeColor="text1"/>
              </w:rPr>
              <w:t>99.33%</w:t>
            </w:r>
          </w:p>
        </w:tc>
        <w:tc>
          <w:tcPr>
            <w:tcW w:w="1617" w:type="dxa"/>
            <w:vAlign w:val="center"/>
          </w:tcPr>
          <w:p w14:paraId="2EBD4858" w14:textId="77777777" w:rsidR="00797C4F" w:rsidRPr="00153B9C" w:rsidRDefault="00797C4F" w:rsidP="007F1F94">
            <w:pPr>
              <w:jc w:val="center"/>
              <w:rPr>
                <w:bCs/>
                <w:color w:val="000000" w:themeColor="text1"/>
              </w:rPr>
            </w:pPr>
            <w:r>
              <w:rPr>
                <w:bCs/>
                <w:color w:val="000000" w:themeColor="text1"/>
              </w:rPr>
              <w:t>143,795</w:t>
            </w:r>
          </w:p>
        </w:tc>
        <w:tc>
          <w:tcPr>
            <w:tcW w:w="1795" w:type="dxa"/>
            <w:vAlign w:val="center"/>
          </w:tcPr>
          <w:p w14:paraId="2E8D2D04" w14:textId="77777777" w:rsidR="00797C4F" w:rsidRPr="00153B9C" w:rsidRDefault="00797C4F" w:rsidP="007F1F94">
            <w:pPr>
              <w:jc w:val="center"/>
              <w:rPr>
                <w:bCs/>
                <w:color w:val="000000" w:themeColor="text1"/>
              </w:rPr>
            </w:pPr>
            <w:r>
              <w:rPr>
                <w:bCs/>
                <w:color w:val="000000" w:themeColor="text1"/>
              </w:rPr>
              <w:t>145,599</w:t>
            </w:r>
          </w:p>
        </w:tc>
        <w:tc>
          <w:tcPr>
            <w:tcW w:w="1970" w:type="dxa"/>
            <w:vAlign w:val="center"/>
          </w:tcPr>
          <w:p w14:paraId="7904AC25" w14:textId="77777777" w:rsidR="00797C4F" w:rsidRPr="00153B9C" w:rsidRDefault="00797C4F" w:rsidP="007F1F94">
            <w:pPr>
              <w:jc w:val="center"/>
              <w:rPr>
                <w:bCs/>
                <w:color w:val="000000" w:themeColor="text1"/>
              </w:rPr>
            </w:pPr>
            <w:r>
              <w:rPr>
                <w:bCs/>
                <w:color w:val="000000" w:themeColor="text1"/>
              </w:rPr>
              <w:t>98.76%</w:t>
            </w:r>
          </w:p>
        </w:tc>
      </w:tr>
      <w:tr w:rsidR="00797C4F" w14:paraId="08681A92" w14:textId="77777777" w:rsidTr="00052FD3">
        <w:tc>
          <w:tcPr>
            <w:tcW w:w="1341" w:type="dxa"/>
            <w:shd w:val="clear" w:color="auto" w:fill="DEEAF6" w:themeFill="accent5" w:themeFillTint="33"/>
            <w:vAlign w:val="center"/>
          </w:tcPr>
          <w:p w14:paraId="7C61DFBD" w14:textId="77777777" w:rsidR="00797C4F" w:rsidRPr="00153B9C" w:rsidRDefault="00797C4F" w:rsidP="007F1F94">
            <w:pPr>
              <w:jc w:val="center"/>
              <w:rPr>
                <w:bCs/>
                <w:color w:val="000000" w:themeColor="text1"/>
              </w:rPr>
            </w:pPr>
            <w:r>
              <w:rPr>
                <w:bCs/>
                <w:color w:val="000000" w:themeColor="text1"/>
              </w:rPr>
              <w:t>Science</w:t>
            </w:r>
          </w:p>
        </w:tc>
        <w:tc>
          <w:tcPr>
            <w:tcW w:w="1170" w:type="dxa"/>
            <w:shd w:val="clear" w:color="auto" w:fill="DEEAF6" w:themeFill="accent5" w:themeFillTint="33"/>
            <w:vAlign w:val="center"/>
          </w:tcPr>
          <w:p w14:paraId="51D149F3" w14:textId="77777777" w:rsidR="00797C4F" w:rsidRPr="00153B9C" w:rsidRDefault="00797C4F" w:rsidP="007F1F94">
            <w:pPr>
              <w:jc w:val="center"/>
              <w:rPr>
                <w:bCs/>
                <w:color w:val="000000" w:themeColor="text1"/>
              </w:rPr>
            </w:pPr>
            <w:r>
              <w:rPr>
                <w:bCs/>
                <w:color w:val="000000" w:themeColor="text1"/>
              </w:rPr>
              <w:t>388,947</w:t>
            </w:r>
          </w:p>
        </w:tc>
        <w:tc>
          <w:tcPr>
            <w:tcW w:w="1174" w:type="dxa"/>
            <w:shd w:val="clear" w:color="auto" w:fill="DEEAF6" w:themeFill="accent5" w:themeFillTint="33"/>
            <w:vAlign w:val="center"/>
          </w:tcPr>
          <w:p w14:paraId="650EC585" w14:textId="77777777" w:rsidR="00797C4F" w:rsidRPr="00153B9C" w:rsidRDefault="00797C4F" w:rsidP="007F1F94">
            <w:pPr>
              <w:jc w:val="center"/>
              <w:rPr>
                <w:bCs/>
                <w:color w:val="000000" w:themeColor="text1"/>
              </w:rPr>
            </w:pPr>
            <w:r>
              <w:rPr>
                <w:bCs/>
                <w:color w:val="000000" w:themeColor="text1"/>
              </w:rPr>
              <w:t>393,203</w:t>
            </w:r>
          </w:p>
        </w:tc>
        <w:tc>
          <w:tcPr>
            <w:tcW w:w="1723" w:type="dxa"/>
            <w:shd w:val="clear" w:color="auto" w:fill="DEEAF6" w:themeFill="accent5" w:themeFillTint="33"/>
            <w:vAlign w:val="center"/>
          </w:tcPr>
          <w:p w14:paraId="02BC5BC8" w14:textId="77777777" w:rsidR="00797C4F" w:rsidRPr="00153B9C" w:rsidRDefault="00797C4F" w:rsidP="007F1F94">
            <w:pPr>
              <w:jc w:val="center"/>
              <w:rPr>
                <w:bCs/>
                <w:color w:val="000000" w:themeColor="text1"/>
              </w:rPr>
            </w:pPr>
            <w:r>
              <w:rPr>
                <w:bCs/>
                <w:color w:val="000000" w:themeColor="text1"/>
              </w:rPr>
              <w:t>98.92%</w:t>
            </w:r>
          </w:p>
        </w:tc>
        <w:tc>
          <w:tcPr>
            <w:tcW w:w="1617" w:type="dxa"/>
            <w:shd w:val="clear" w:color="auto" w:fill="DEEAF6" w:themeFill="accent5" w:themeFillTint="33"/>
            <w:vAlign w:val="center"/>
          </w:tcPr>
          <w:p w14:paraId="0F19C0AE" w14:textId="77777777" w:rsidR="00797C4F" w:rsidRPr="00153B9C" w:rsidRDefault="00797C4F" w:rsidP="007F1F94">
            <w:pPr>
              <w:jc w:val="center"/>
              <w:rPr>
                <w:bCs/>
                <w:color w:val="000000" w:themeColor="text1"/>
              </w:rPr>
            </w:pPr>
            <w:r>
              <w:rPr>
                <w:bCs/>
                <w:color w:val="000000" w:themeColor="text1"/>
              </w:rPr>
              <w:t>59,956</w:t>
            </w:r>
          </w:p>
        </w:tc>
        <w:tc>
          <w:tcPr>
            <w:tcW w:w="1795" w:type="dxa"/>
            <w:shd w:val="clear" w:color="auto" w:fill="DEEAF6" w:themeFill="accent5" w:themeFillTint="33"/>
            <w:vAlign w:val="center"/>
          </w:tcPr>
          <w:p w14:paraId="6A018F74" w14:textId="77777777" w:rsidR="00797C4F" w:rsidRPr="00153B9C" w:rsidRDefault="00797C4F" w:rsidP="007F1F94">
            <w:pPr>
              <w:jc w:val="center"/>
              <w:rPr>
                <w:bCs/>
                <w:color w:val="000000" w:themeColor="text1"/>
              </w:rPr>
            </w:pPr>
            <w:r>
              <w:rPr>
                <w:bCs/>
                <w:color w:val="000000" w:themeColor="text1"/>
              </w:rPr>
              <w:t>61,164</w:t>
            </w:r>
          </w:p>
        </w:tc>
        <w:tc>
          <w:tcPr>
            <w:tcW w:w="1970" w:type="dxa"/>
            <w:shd w:val="clear" w:color="auto" w:fill="DEEAF6" w:themeFill="accent5" w:themeFillTint="33"/>
            <w:vAlign w:val="center"/>
          </w:tcPr>
          <w:p w14:paraId="58E9477B" w14:textId="77777777" w:rsidR="00797C4F" w:rsidRPr="00153B9C" w:rsidRDefault="00797C4F" w:rsidP="007F1F94">
            <w:pPr>
              <w:jc w:val="center"/>
              <w:rPr>
                <w:bCs/>
                <w:color w:val="000000" w:themeColor="text1"/>
              </w:rPr>
            </w:pPr>
            <w:r>
              <w:rPr>
                <w:bCs/>
                <w:color w:val="000000" w:themeColor="text1"/>
              </w:rPr>
              <w:t>98.02%</w:t>
            </w:r>
          </w:p>
        </w:tc>
      </w:tr>
      <w:bookmarkEnd w:id="28"/>
    </w:tbl>
    <w:p w14:paraId="6F085E7A" w14:textId="77777777" w:rsidR="00797C4F" w:rsidRPr="00797C4F" w:rsidRDefault="00797C4F" w:rsidP="00797C4F"/>
    <w:p w14:paraId="565C7467" w14:textId="530CFC11" w:rsidR="00D6040D" w:rsidRPr="00D6040D" w:rsidRDefault="001E57AB" w:rsidP="00273760">
      <w:pPr>
        <w:pStyle w:val="Heading2"/>
      </w:pPr>
      <w:bookmarkStart w:id="29" w:name="_Toc54954295"/>
      <w:r w:rsidRPr="00D6040D">
        <w:rPr>
          <w:rStyle w:val="Heading2Char"/>
          <w:b/>
        </w:rPr>
        <w:t>Component 3</w:t>
      </w:r>
      <w:bookmarkEnd w:id="26"/>
      <w:r w:rsidR="0067786F" w:rsidRPr="00D2402D">
        <w:rPr>
          <w:b/>
          <w:bCs/>
        </w:rPr>
        <w:t>A</w:t>
      </w:r>
      <w:bookmarkEnd w:id="27"/>
      <w:bookmarkEnd w:id="29"/>
    </w:p>
    <w:p w14:paraId="22541D18" w14:textId="0B200A60" w:rsidR="002C3584" w:rsidRPr="00D6040D" w:rsidRDefault="002C3584" w:rsidP="00D6040D">
      <w:pPr>
        <w:rPr>
          <w:b/>
          <w:i/>
        </w:rPr>
      </w:pPr>
      <w:r w:rsidRPr="00D6040D">
        <w:rPr>
          <w:b/>
          <w:i/>
        </w:rPr>
        <w:t xml:space="preserve">Include assurances from the </w:t>
      </w:r>
      <w:r w:rsidR="001C10EB" w:rsidRPr="00D6040D">
        <w:rPr>
          <w:b/>
          <w:i/>
        </w:rPr>
        <w:t xml:space="preserve">state </w:t>
      </w:r>
      <w:r w:rsidRPr="00D6040D">
        <w:rPr>
          <w:b/>
          <w:i/>
        </w:rPr>
        <w:t xml:space="preserve">that it has verified that each district or community school that the </w:t>
      </w:r>
      <w:r w:rsidR="001C10EB" w:rsidRPr="00D6040D">
        <w:rPr>
          <w:b/>
          <w:i/>
        </w:rPr>
        <w:t xml:space="preserve">state </w:t>
      </w:r>
      <w:r w:rsidRPr="00D6040D">
        <w:rPr>
          <w:b/>
          <w:i/>
        </w:rPr>
        <w:t xml:space="preserve">anticipates will assess more than </w:t>
      </w:r>
      <w:r w:rsidR="00563E08" w:rsidRPr="00D6040D">
        <w:rPr>
          <w:b/>
          <w:i/>
        </w:rPr>
        <w:t>1</w:t>
      </w:r>
      <w:r w:rsidRPr="00D6040D">
        <w:rPr>
          <w:b/>
          <w:i/>
        </w:rPr>
        <w:t xml:space="preserve"> percent of its assessed students in any subject using an alternate assessment followed the </w:t>
      </w:r>
      <w:r w:rsidR="001C10EB" w:rsidRPr="00D6040D">
        <w:rPr>
          <w:b/>
          <w:i/>
        </w:rPr>
        <w:t xml:space="preserve">state’s </w:t>
      </w:r>
      <w:r w:rsidRPr="00D6040D">
        <w:rPr>
          <w:b/>
          <w:i/>
        </w:rPr>
        <w:t>guidelines for participation in the alternate assessment.</w:t>
      </w:r>
    </w:p>
    <w:p w14:paraId="4754B3B8" w14:textId="1A77E7ED" w:rsidR="00FE4E89" w:rsidRPr="00FE4E89" w:rsidRDefault="228C384C" w:rsidP="2930A659">
      <w:r>
        <w:t xml:space="preserve">In school year </w:t>
      </w:r>
      <w:r w:rsidR="75C6076D">
        <w:t>2019-2020</w:t>
      </w:r>
      <w:r w:rsidR="0C47E4E3">
        <w:t xml:space="preserve">, </w:t>
      </w:r>
      <w:r w:rsidR="1B4AC1FD">
        <w:t xml:space="preserve">701 districts submitted assurances </w:t>
      </w:r>
      <w:r w:rsidR="2AC80359">
        <w:t>by Jan. 29, 2020</w:t>
      </w:r>
      <w:r w:rsidR="4A694B9B">
        <w:t>.</w:t>
      </w:r>
      <w:r w:rsidR="2AC80359">
        <w:t xml:space="preserve"> </w:t>
      </w:r>
      <w:r w:rsidR="6BB06BB4" w:rsidRPr="2930A659">
        <w:rPr>
          <w:rFonts w:eastAsia="Arial"/>
        </w:rPr>
        <w:t xml:space="preserve">The majority of 275 </w:t>
      </w:r>
      <w:r w:rsidR="00FD232C">
        <w:rPr>
          <w:rFonts w:eastAsia="Arial"/>
        </w:rPr>
        <w:t>non</w:t>
      </w:r>
      <w:r w:rsidR="00DF7297">
        <w:rPr>
          <w:rFonts w:eastAsia="Arial"/>
        </w:rPr>
        <w:t>-</w:t>
      </w:r>
      <w:r w:rsidR="00FD232C">
        <w:rPr>
          <w:rFonts w:eastAsia="Arial"/>
        </w:rPr>
        <w:t>respon</w:t>
      </w:r>
      <w:r w:rsidR="00DF7297">
        <w:rPr>
          <w:rFonts w:eastAsia="Arial"/>
        </w:rPr>
        <w:t>ders</w:t>
      </w:r>
      <w:r w:rsidR="00FD232C" w:rsidRPr="2930A659">
        <w:rPr>
          <w:rFonts w:eastAsia="Arial"/>
        </w:rPr>
        <w:t xml:space="preserve"> </w:t>
      </w:r>
      <w:r w:rsidR="6BB06BB4" w:rsidRPr="2930A659">
        <w:rPr>
          <w:rFonts w:eastAsia="Arial"/>
        </w:rPr>
        <w:t>submitted a justification while the remainder of districts were referred to the comprehensive monitoring system team for ongoing follow-up.</w:t>
      </w:r>
      <w:r w:rsidR="636D2843">
        <w:t xml:space="preserve"> </w:t>
      </w:r>
      <w:r w:rsidR="005C2571">
        <w:t>D</w:t>
      </w:r>
      <w:r>
        <w:t xml:space="preserve">istricts and community schools </w:t>
      </w:r>
      <w:r w:rsidR="2484B10B">
        <w:t xml:space="preserve">that anticipate exceeding 1.0 </w:t>
      </w:r>
      <w:r w:rsidR="00CD7406">
        <w:t xml:space="preserve">percent </w:t>
      </w:r>
      <w:r w:rsidR="2484B10B">
        <w:t xml:space="preserve">participation </w:t>
      </w:r>
      <w:r w:rsidR="0128236D">
        <w:t xml:space="preserve">are required </w:t>
      </w:r>
      <w:r>
        <w:t xml:space="preserve">to </w:t>
      </w:r>
      <w:r w:rsidR="22D0E26C">
        <w:t xml:space="preserve">detail </w:t>
      </w:r>
      <w:r w:rsidR="46DC22A4">
        <w:t xml:space="preserve">how they implement the </w:t>
      </w:r>
      <w:r w:rsidR="007316A8">
        <w:t>D</w:t>
      </w:r>
      <w:r w:rsidR="0C47E4E3">
        <w:t xml:space="preserve">epartment </w:t>
      </w:r>
      <w:r w:rsidR="46DC22A4">
        <w:t>guidelines for participation in the</w:t>
      </w:r>
      <w:r w:rsidR="2626772B">
        <w:t xml:space="preserve"> Alternate Assessment for Students with </w:t>
      </w:r>
      <w:r w:rsidR="2AC80359">
        <w:t xml:space="preserve">the Most </w:t>
      </w:r>
      <w:r w:rsidR="2626772B">
        <w:t>Significant Cognitive Disabilities</w:t>
      </w:r>
      <w:r w:rsidR="46DC22A4">
        <w:t xml:space="preserve">. </w:t>
      </w:r>
      <w:r w:rsidR="003724AE">
        <w:t>T</w:t>
      </w:r>
      <w:r w:rsidR="7A298213">
        <w:t>he deadline for submitting the</w:t>
      </w:r>
      <w:r w:rsidR="001119E1">
        <w:t xml:space="preserve"> district</w:t>
      </w:r>
      <w:r w:rsidR="7A298213">
        <w:t xml:space="preserve"> justification form with assurances </w:t>
      </w:r>
      <w:r w:rsidR="2FC659C0">
        <w:t xml:space="preserve">is </w:t>
      </w:r>
      <w:r w:rsidR="7A298213">
        <w:t xml:space="preserve">March </w:t>
      </w:r>
      <w:r w:rsidR="00CA7C7A">
        <w:t>30</w:t>
      </w:r>
      <w:r w:rsidR="7A298213">
        <w:t>, 202</w:t>
      </w:r>
      <w:r w:rsidR="2700764D">
        <w:t>2</w:t>
      </w:r>
      <w:r w:rsidR="7A298213">
        <w:t xml:space="preserve">. </w:t>
      </w:r>
      <w:r w:rsidR="3A36BCA8">
        <w:t xml:space="preserve">The </w:t>
      </w:r>
      <w:r w:rsidR="008738A7">
        <w:t>D</w:t>
      </w:r>
      <w:r w:rsidR="3A36BCA8">
        <w:t xml:space="preserve">epartment </w:t>
      </w:r>
      <w:r w:rsidR="00CA7C7A">
        <w:t xml:space="preserve">assures </w:t>
      </w:r>
      <w:r w:rsidR="3A36BCA8">
        <w:t xml:space="preserve">that all districts </w:t>
      </w:r>
      <w:r w:rsidR="003C34FF">
        <w:t xml:space="preserve">that </w:t>
      </w:r>
      <w:r w:rsidR="3A36BCA8">
        <w:t>had exceeded the 1</w:t>
      </w:r>
      <w:r w:rsidR="4A169E37">
        <w:t>.0</w:t>
      </w:r>
      <w:r w:rsidR="3A36BCA8">
        <w:t xml:space="preserve"> percent threshold in </w:t>
      </w:r>
      <w:r w:rsidR="2700764D">
        <w:t>2020-2021</w:t>
      </w:r>
      <w:r w:rsidR="3A36BCA8">
        <w:t xml:space="preserve"> did submit a</w:t>
      </w:r>
      <w:r w:rsidR="776AE1CE">
        <w:t xml:space="preserve">n assurances </w:t>
      </w:r>
      <w:r w:rsidR="3A36BCA8">
        <w:t xml:space="preserve">form. </w:t>
      </w:r>
    </w:p>
    <w:p w14:paraId="0485F8C6" w14:textId="18177D0A" w:rsidR="0063311B" w:rsidRDefault="0063311B" w:rsidP="000E1290">
      <w:pPr>
        <w:pStyle w:val="Heading3"/>
        <w:ind w:left="0" w:firstLine="720"/>
      </w:pPr>
      <w:bookmarkStart w:id="30" w:name="_Toc20039350"/>
      <w:bookmarkStart w:id="31" w:name="_Toc54954296"/>
      <w:r>
        <w:t>Evidence of Progress</w:t>
      </w:r>
      <w:bookmarkEnd w:id="30"/>
      <w:bookmarkEnd w:id="31"/>
    </w:p>
    <w:p w14:paraId="3596E88D" w14:textId="5DAF190E" w:rsidR="003177D5" w:rsidRDefault="0063311B" w:rsidP="0090187D">
      <w:bookmarkStart w:id="32" w:name="_Hlk24468039"/>
      <w:r w:rsidRPr="00A769D2">
        <w:t xml:space="preserve">The Department </w:t>
      </w:r>
      <w:r w:rsidR="00CD5ED3">
        <w:t>received</w:t>
      </w:r>
      <w:r w:rsidR="00CD5ED3" w:rsidRPr="00A769D2">
        <w:t xml:space="preserve"> </w:t>
      </w:r>
      <w:r w:rsidR="00753F91">
        <w:t xml:space="preserve">assurances </w:t>
      </w:r>
      <w:r w:rsidR="00A769D2" w:rsidRPr="00A769D2">
        <w:t xml:space="preserve">from </w:t>
      </w:r>
      <w:r w:rsidR="00753F91" w:rsidRPr="00975903">
        <w:t>100</w:t>
      </w:r>
      <w:r w:rsidR="00FF5509" w:rsidRPr="00975903">
        <w:t xml:space="preserve"> percent</w:t>
      </w:r>
      <w:r w:rsidR="00A769D2" w:rsidRPr="00A769D2">
        <w:t xml:space="preserve"> of required districts and community schools</w:t>
      </w:r>
      <w:r w:rsidR="00753F91">
        <w:t xml:space="preserve"> (those that exceeded 1</w:t>
      </w:r>
      <w:r w:rsidR="00F01D0E">
        <w:t>.0</w:t>
      </w:r>
      <w:r w:rsidR="00753F91">
        <w:t xml:space="preserve"> percent alternate assessment participation in school year 201</w:t>
      </w:r>
      <w:r w:rsidR="00F01D0E">
        <w:t>9</w:t>
      </w:r>
      <w:r w:rsidR="00753F91">
        <w:t>-20</w:t>
      </w:r>
      <w:r w:rsidR="00F01D0E">
        <w:t>20</w:t>
      </w:r>
      <w:r w:rsidR="00753F91">
        <w:t>), as well as a significant number of districts that did not anticipate exceeding 1</w:t>
      </w:r>
      <w:r w:rsidR="00F01D0E">
        <w:t>.0</w:t>
      </w:r>
      <w:r w:rsidR="00753F91">
        <w:t xml:space="preserve"> percent but submitted the form </w:t>
      </w:r>
      <w:r w:rsidR="001F60C7">
        <w:t>as well</w:t>
      </w:r>
      <w:r w:rsidR="00A769D2" w:rsidRPr="00A769D2">
        <w:t>.</w:t>
      </w:r>
      <w:bookmarkEnd w:id="32"/>
      <w:r w:rsidR="00A769D2" w:rsidRPr="00A769D2">
        <w:t xml:space="preserve"> </w:t>
      </w:r>
    </w:p>
    <w:p w14:paraId="762869B8" w14:textId="782AF120" w:rsidR="00D6040D" w:rsidRPr="00D6040D" w:rsidRDefault="001E57AB" w:rsidP="00273760">
      <w:pPr>
        <w:pStyle w:val="Heading2"/>
      </w:pPr>
      <w:bookmarkStart w:id="33" w:name="_Toc524527560"/>
      <w:bookmarkStart w:id="34" w:name="_Toc20039351"/>
      <w:bookmarkStart w:id="35" w:name="_Toc54954297"/>
      <w:r w:rsidRPr="00D6040D">
        <w:rPr>
          <w:rStyle w:val="Heading2Char"/>
          <w:b/>
        </w:rPr>
        <w:t xml:space="preserve">Component </w:t>
      </w:r>
      <w:bookmarkEnd w:id="33"/>
      <w:r w:rsidR="0067786F">
        <w:rPr>
          <w:rStyle w:val="Heading2Char"/>
          <w:b/>
        </w:rPr>
        <w:t>3B</w:t>
      </w:r>
      <w:bookmarkEnd w:id="34"/>
      <w:bookmarkEnd w:id="35"/>
    </w:p>
    <w:p w14:paraId="16999EA9" w14:textId="30CC322B" w:rsidR="002C3584" w:rsidRPr="00D6040D" w:rsidRDefault="00C90AF6" w:rsidP="00D6040D">
      <w:pPr>
        <w:rPr>
          <w:b/>
          <w:i/>
        </w:rPr>
      </w:pPr>
      <w:r w:rsidRPr="00D6040D">
        <w:rPr>
          <w:b/>
          <w:i/>
        </w:rPr>
        <w:t xml:space="preserve">Include assurances from the state that it has verified that each district or community school that the state anticipates will assess more than 1 percent of its assessed students in any subject using an </w:t>
      </w:r>
      <w:r w:rsidRPr="00D6040D">
        <w:rPr>
          <w:b/>
          <w:i/>
        </w:rPr>
        <w:lastRenderedPageBreak/>
        <w:t xml:space="preserve">alternate assessment </w:t>
      </w:r>
      <w:r w:rsidR="002C3584" w:rsidRPr="00D6040D">
        <w:rPr>
          <w:b/>
          <w:i/>
        </w:rPr>
        <w:t>will address any disproportionality in the percentage of students in any subgroup taking an alternate assessment.</w:t>
      </w:r>
    </w:p>
    <w:p w14:paraId="77B71BFC" w14:textId="65A4189F" w:rsidR="00B635B9" w:rsidRDefault="00401BF1" w:rsidP="005822E4">
      <w:r>
        <w:t>The Department</w:t>
      </w:r>
      <w:r w:rsidR="00B635B9" w:rsidRPr="0027370F">
        <w:t xml:space="preserve"> continue</w:t>
      </w:r>
      <w:r>
        <w:t>s</w:t>
      </w:r>
      <w:r w:rsidR="00B635B9" w:rsidRPr="0027370F">
        <w:t xml:space="preserve"> to address disproportionality in the percentage of students in any subgroup </w:t>
      </w:r>
      <w:r>
        <w:t xml:space="preserve">participating in </w:t>
      </w:r>
      <w:r w:rsidR="00B635B9" w:rsidRPr="0027370F">
        <w:t xml:space="preserve">the </w:t>
      </w:r>
      <w:r w:rsidR="00FB23C9">
        <w:t xml:space="preserve">Alternate Assessment for Students with </w:t>
      </w:r>
      <w:r w:rsidR="001E21E2">
        <w:t xml:space="preserve">the Most </w:t>
      </w:r>
      <w:r w:rsidR="00FB23C9">
        <w:t>Significant Cognitive Disabilities</w:t>
      </w:r>
      <w:r w:rsidR="0063311B" w:rsidRPr="003D118F">
        <w:t xml:space="preserve"> </w:t>
      </w:r>
      <w:r w:rsidRPr="00975903">
        <w:rPr>
          <w:i/>
        </w:rPr>
        <w:t>(S</w:t>
      </w:r>
      <w:r w:rsidR="00B635B9" w:rsidRPr="00975903">
        <w:rPr>
          <w:i/>
        </w:rPr>
        <w:t xml:space="preserve">ee Table </w:t>
      </w:r>
      <w:r w:rsidR="00975903" w:rsidRPr="00975903">
        <w:rPr>
          <w:i/>
        </w:rPr>
        <w:t>2</w:t>
      </w:r>
      <w:r w:rsidR="00B635B9" w:rsidRPr="00975903">
        <w:rPr>
          <w:i/>
        </w:rPr>
        <w:t>)</w:t>
      </w:r>
      <w:r w:rsidR="001D7C31" w:rsidRPr="00975903">
        <w:rPr>
          <w:i/>
        </w:rPr>
        <w:t>.</w:t>
      </w:r>
      <w:r w:rsidR="00B635B9" w:rsidRPr="0027370F">
        <w:t xml:space="preserve"> </w:t>
      </w:r>
      <w:r w:rsidR="00470480" w:rsidRPr="0027370F">
        <w:t>Ohio</w:t>
      </w:r>
      <w:r w:rsidR="0063311B" w:rsidRPr="003D118F">
        <w:t xml:space="preserve">’s </w:t>
      </w:r>
      <w:r w:rsidR="001E21E2">
        <w:t>2020-2021</w:t>
      </w:r>
      <w:r w:rsidR="006D2FD0">
        <w:t xml:space="preserve"> </w:t>
      </w:r>
      <w:proofErr w:type="spellStart"/>
      <w:r w:rsidR="000E1290">
        <w:t>EdFacts</w:t>
      </w:r>
      <w:proofErr w:type="spellEnd"/>
      <w:r w:rsidR="000E1290">
        <w:t xml:space="preserve"> </w:t>
      </w:r>
      <w:r w:rsidR="006D2FD0">
        <w:t xml:space="preserve">data </w:t>
      </w:r>
      <w:r w:rsidR="00165666">
        <w:t xml:space="preserve">shows a </w:t>
      </w:r>
      <w:r w:rsidR="00B928A9">
        <w:t>decreased</w:t>
      </w:r>
      <w:r w:rsidR="00165666">
        <w:t xml:space="preserve"> </w:t>
      </w:r>
      <w:r w:rsidR="00B635B9" w:rsidRPr="0027370F">
        <w:t>number of participants in the economically disadvantaged subgroup</w:t>
      </w:r>
      <w:r w:rsidR="00165666">
        <w:t xml:space="preserve">. </w:t>
      </w:r>
      <w:r w:rsidR="008E554E" w:rsidRPr="003D118F">
        <w:t xml:space="preserve">Data </w:t>
      </w:r>
      <w:r w:rsidR="000F7215">
        <w:t>continues to</w:t>
      </w:r>
      <w:r w:rsidR="00FE7C07">
        <w:t xml:space="preserve"> </w:t>
      </w:r>
      <w:r w:rsidR="008E554E" w:rsidRPr="003D118F">
        <w:t>show a disproportionate number of black</w:t>
      </w:r>
      <w:r w:rsidR="00450E23">
        <w:t xml:space="preserve"> </w:t>
      </w:r>
      <w:r w:rsidR="008E554E" w:rsidRPr="003D118F">
        <w:t>students participating in the alternate assessment</w:t>
      </w:r>
      <w:r w:rsidR="00A075B7">
        <w:t xml:space="preserve">, which echoes state-level significant disproportionality data regarding the identification of students with </w:t>
      </w:r>
      <w:r w:rsidR="00C61F9A">
        <w:t>disabilities</w:t>
      </w:r>
      <w:r w:rsidR="008E554E" w:rsidRPr="003D118F">
        <w:t xml:space="preserve">. </w:t>
      </w:r>
      <w:r w:rsidR="00E556A4">
        <w:t>T</w:t>
      </w:r>
      <w:r w:rsidR="006C7EB0">
        <w:t xml:space="preserve">he Department </w:t>
      </w:r>
      <w:r w:rsidR="000F7215">
        <w:t xml:space="preserve">continues to </w:t>
      </w:r>
      <w:r w:rsidR="00ED1496">
        <w:t>assist</w:t>
      </w:r>
      <w:r w:rsidR="006C7EB0">
        <w:t xml:space="preserve"> </w:t>
      </w:r>
      <w:r w:rsidR="00334A81">
        <w:t xml:space="preserve">districts and community schools with the analysis of </w:t>
      </w:r>
      <w:r w:rsidR="00045198">
        <w:t xml:space="preserve">alternate assessment </w:t>
      </w:r>
      <w:r w:rsidR="00334A81">
        <w:t>disproportionality data</w:t>
      </w:r>
      <w:r w:rsidR="00A828EA">
        <w:t xml:space="preserve">. </w:t>
      </w:r>
      <w:r w:rsidR="00F846FD">
        <w:t xml:space="preserve">In alignment with </w:t>
      </w:r>
      <w:r w:rsidR="00F846FD" w:rsidRPr="00F846FD">
        <w:rPr>
          <w:i/>
        </w:rPr>
        <w:t>Each Child, Our Future</w:t>
      </w:r>
      <w:r w:rsidR="00F846FD">
        <w:rPr>
          <w:i/>
        </w:rPr>
        <w:t>’s</w:t>
      </w:r>
      <w:r w:rsidR="00F846FD">
        <w:t xml:space="preserve"> focus on equity, </w:t>
      </w:r>
      <w:r w:rsidR="009632B1">
        <w:t>t</w:t>
      </w:r>
      <w:r w:rsidR="00A828EA">
        <w:t xml:space="preserve">he </w:t>
      </w:r>
      <w:r w:rsidR="009C2400">
        <w:t>Office for Exceptional Children</w:t>
      </w:r>
      <w:r w:rsidR="00334A81">
        <w:t xml:space="preserve"> </w:t>
      </w:r>
      <w:r w:rsidR="00EB1724">
        <w:t xml:space="preserve">has </w:t>
      </w:r>
      <w:r w:rsidR="00B93599">
        <w:t>made</w:t>
      </w:r>
      <w:r w:rsidR="00334A81">
        <w:t xml:space="preserve"> </w:t>
      </w:r>
      <w:r w:rsidR="009C2400">
        <w:t xml:space="preserve">disproportionality </w:t>
      </w:r>
      <w:r w:rsidR="00334A81">
        <w:t xml:space="preserve">a </w:t>
      </w:r>
      <w:r w:rsidR="00F846FD">
        <w:t>high</w:t>
      </w:r>
      <w:r w:rsidR="001560DB">
        <w:t xml:space="preserve"> </w:t>
      </w:r>
      <w:r w:rsidR="00357B44">
        <w:t>priority</w:t>
      </w:r>
      <w:r w:rsidR="00F846FD">
        <w:t xml:space="preserve"> focus</w:t>
      </w:r>
      <w:r w:rsidR="00334A81">
        <w:t xml:space="preserve"> </w:t>
      </w:r>
      <w:r w:rsidR="008809A8">
        <w:t>for</w:t>
      </w:r>
      <w:r w:rsidR="00334A81">
        <w:t xml:space="preserve"> </w:t>
      </w:r>
      <w:r w:rsidR="000E1290">
        <w:t>202</w:t>
      </w:r>
      <w:r w:rsidR="00EB1724">
        <w:t>1</w:t>
      </w:r>
      <w:r w:rsidR="00ED1496">
        <w:t>-202</w:t>
      </w:r>
      <w:r w:rsidR="00EB1724">
        <w:t>2</w:t>
      </w:r>
      <w:r w:rsidR="00ED1496">
        <w:t xml:space="preserve">. </w:t>
      </w:r>
      <w:r w:rsidR="002D08B9">
        <w:t>T</w:t>
      </w:r>
      <w:r w:rsidR="00B635B9" w:rsidRPr="0027370F">
        <w:t xml:space="preserve">he </w:t>
      </w:r>
      <w:r w:rsidR="00E4656E">
        <w:t>Alternate Assessment</w:t>
      </w:r>
      <w:r w:rsidR="00B635B9" w:rsidRPr="0027370F">
        <w:t xml:space="preserve"> Workgroup </w:t>
      </w:r>
      <w:r w:rsidR="0027370F" w:rsidRPr="003D118F">
        <w:t xml:space="preserve">plans a targeted analysis of student participation by </w:t>
      </w:r>
      <w:r w:rsidR="00C61F9A">
        <w:t xml:space="preserve">1) socioeconomic status, 2) race and ethnicity, and 3) </w:t>
      </w:r>
      <w:r w:rsidR="0027370F" w:rsidRPr="003D118F">
        <w:t>disability category</w:t>
      </w:r>
      <w:r w:rsidR="00C61F9A">
        <w:t xml:space="preserve">. This analysis will include </w:t>
      </w:r>
      <w:r w:rsidR="00A87C43">
        <w:t xml:space="preserve">data at </w:t>
      </w:r>
      <w:r w:rsidR="00C61F9A">
        <w:t xml:space="preserve">the </w:t>
      </w:r>
      <w:r w:rsidR="0027370F" w:rsidRPr="003D118F">
        <w:t xml:space="preserve">state level and within </w:t>
      </w:r>
      <w:r w:rsidR="00A87C43">
        <w:t xml:space="preserve">identified </w:t>
      </w:r>
      <w:r w:rsidR="0027370F" w:rsidRPr="003D118F">
        <w:t>Tier 3 districts</w:t>
      </w:r>
      <w:r w:rsidR="002C44FE">
        <w:t xml:space="preserve"> and community schools</w:t>
      </w:r>
      <w:r w:rsidR="0027370F" w:rsidRPr="0027370F">
        <w:t xml:space="preserve">. </w:t>
      </w:r>
    </w:p>
    <w:p w14:paraId="3650B195" w14:textId="5F672A74" w:rsidR="0063311B" w:rsidRDefault="0063311B" w:rsidP="000E1290">
      <w:pPr>
        <w:pStyle w:val="Heading3"/>
        <w:ind w:left="0" w:firstLine="720"/>
      </w:pPr>
      <w:bookmarkStart w:id="36" w:name="_Toc20039352"/>
      <w:bookmarkStart w:id="37" w:name="_Toc54954298"/>
      <w:bookmarkStart w:id="38" w:name="_Hlk19195802"/>
      <w:r>
        <w:t>Evidence of Progress</w:t>
      </w:r>
      <w:bookmarkEnd w:id="36"/>
      <w:bookmarkEnd w:id="37"/>
    </w:p>
    <w:p w14:paraId="3D9EF675" w14:textId="03E13073" w:rsidR="006E3422" w:rsidRDefault="00663CA4" w:rsidP="005822E4">
      <w:r>
        <w:t>I</w:t>
      </w:r>
      <w:r w:rsidR="00061953">
        <w:t xml:space="preserve">n </w:t>
      </w:r>
      <w:r w:rsidR="00696411">
        <w:t>December 2021</w:t>
      </w:r>
      <w:r w:rsidR="00D52BB5">
        <w:t>,</w:t>
      </w:r>
      <w:r w:rsidR="00061953">
        <w:t xml:space="preserve"> t</w:t>
      </w:r>
      <w:r w:rsidR="0027370F">
        <w:t xml:space="preserve">he Department </w:t>
      </w:r>
      <w:bookmarkEnd w:id="38"/>
      <w:r w:rsidR="00696411">
        <w:t>will continue to include</w:t>
      </w:r>
      <w:r w:rsidR="00F50D2C">
        <w:t xml:space="preserve"> </w:t>
      </w:r>
      <w:r w:rsidR="001843D0">
        <w:t xml:space="preserve">alternate assessment participation </w:t>
      </w:r>
      <w:r w:rsidR="009D0FD3">
        <w:t>in</w:t>
      </w:r>
      <w:r w:rsidR="001843D0">
        <w:t xml:space="preserve"> Special Education Profiles and Special Education </w:t>
      </w:r>
      <w:r w:rsidR="008B542C">
        <w:t>R</w:t>
      </w:r>
      <w:r w:rsidR="001843D0">
        <w:t>atings</w:t>
      </w:r>
      <w:r w:rsidR="00061953">
        <w:t>.</w:t>
      </w:r>
      <w:r w:rsidR="001843D0">
        <w:t xml:space="preserve"> </w:t>
      </w:r>
      <w:r w:rsidR="000E1290">
        <w:t xml:space="preserve">Due to COVID-19, the </w:t>
      </w:r>
      <w:r w:rsidR="00452CE6">
        <w:t>D</w:t>
      </w:r>
      <w:r w:rsidR="000E1290">
        <w:t xml:space="preserve">epartment postponed the </w:t>
      </w:r>
      <w:r w:rsidR="00CB5729">
        <w:t xml:space="preserve">release of </w:t>
      </w:r>
      <w:r w:rsidR="000E1290">
        <w:t xml:space="preserve">Special Education Profiles for school year 2019-2020 to December 2020. </w:t>
      </w:r>
      <w:r w:rsidR="005B1D12">
        <w:t xml:space="preserve">By </w:t>
      </w:r>
      <w:r w:rsidR="0037376D">
        <w:t xml:space="preserve">incorporating </w:t>
      </w:r>
      <w:r w:rsidR="00916ACF">
        <w:t xml:space="preserve">alternate assessment participation in the profiles and ratings, </w:t>
      </w:r>
      <w:r w:rsidR="00A17DB3">
        <w:t xml:space="preserve">the Office for Exceptional Children </w:t>
      </w:r>
      <w:r w:rsidR="00D52BB5">
        <w:t>identifie</w:t>
      </w:r>
      <w:r w:rsidR="00DB7837">
        <w:t>s</w:t>
      </w:r>
      <w:r w:rsidR="000151F5">
        <w:t xml:space="preserve"> T</w:t>
      </w:r>
      <w:r w:rsidR="00A478B7">
        <w:t xml:space="preserve">ier 3 districts </w:t>
      </w:r>
      <w:r w:rsidR="002B5798">
        <w:t>and community school</w:t>
      </w:r>
      <w:r w:rsidR="000539EB">
        <w:t>s</w:t>
      </w:r>
      <w:r w:rsidR="002B5798">
        <w:t xml:space="preserve"> </w:t>
      </w:r>
      <w:r w:rsidR="00A478B7">
        <w:t>for the supports and monitoring process</w:t>
      </w:r>
      <w:r w:rsidR="001B4116">
        <w:t>. This p</w:t>
      </w:r>
      <w:r w:rsidR="00A3327B">
        <w:t>rovid</w:t>
      </w:r>
      <w:r w:rsidR="001B4116">
        <w:t xml:space="preserve">ed the </w:t>
      </w:r>
      <w:r w:rsidR="00A3327B">
        <w:t xml:space="preserve">opportunity and </w:t>
      </w:r>
      <w:r w:rsidR="001103C2">
        <w:t xml:space="preserve">the </w:t>
      </w:r>
      <w:r w:rsidR="00D47948">
        <w:t>platform</w:t>
      </w:r>
      <w:r w:rsidR="00A3327B">
        <w:t xml:space="preserve"> to </w:t>
      </w:r>
      <w:r w:rsidR="00052C5C">
        <w:t>work with districts and community schools in analyzing</w:t>
      </w:r>
      <w:r w:rsidR="00E96ECD">
        <w:t xml:space="preserve"> their</w:t>
      </w:r>
      <w:r w:rsidR="00052C5C">
        <w:t xml:space="preserve"> participation data</w:t>
      </w:r>
      <w:r w:rsidR="0037376D">
        <w:t>.</w:t>
      </w:r>
      <w:r w:rsidR="000A2340">
        <w:t xml:space="preserve"> </w:t>
      </w:r>
      <w:r w:rsidR="00C351A1">
        <w:t xml:space="preserve">The electronic </w:t>
      </w:r>
      <w:r w:rsidR="00F846FD">
        <w:t xml:space="preserve">Special Education </w:t>
      </w:r>
      <w:r w:rsidR="00C351A1">
        <w:t xml:space="preserve">Profile system </w:t>
      </w:r>
      <w:r w:rsidR="00481DF6">
        <w:t>alert</w:t>
      </w:r>
      <w:r w:rsidR="00E61DB5">
        <w:t>s</w:t>
      </w:r>
      <w:r w:rsidR="00481DF6">
        <w:t xml:space="preserve"> </w:t>
      </w:r>
      <w:r w:rsidR="000151F5">
        <w:t>T</w:t>
      </w:r>
      <w:r w:rsidR="00481DF6">
        <w:t xml:space="preserve">ier 3 districts of </w:t>
      </w:r>
      <w:bookmarkStart w:id="39" w:name="_Hlk85894770"/>
      <w:r w:rsidR="00677EE4">
        <w:t>mandatory</w:t>
      </w:r>
      <w:r w:rsidR="00C351A1">
        <w:t xml:space="preserve"> </w:t>
      </w:r>
      <w:r w:rsidR="00A6338B">
        <w:t>action</w:t>
      </w:r>
      <w:r w:rsidR="00C351A1">
        <w:t xml:space="preserve"> steps</w:t>
      </w:r>
      <w:bookmarkEnd w:id="39"/>
      <w:r w:rsidR="009F2F34">
        <w:t>. Action steps include</w:t>
      </w:r>
      <w:r w:rsidR="007445B2">
        <w:t xml:space="preserve"> </w:t>
      </w:r>
      <w:r w:rsidR="0072738B">
        <w:t>completi</w:t>
      </w:r>
      <w:r w:rsidR="009F2F34">
        <w:t>ng</w:t>
      </w:r>
      <w:r w:rsidR="0072738B">
        <w:t xml:space="preserve"> a </w:t>
      </w:r>
      <w:r w:rsidR="009D5E63">
        <w:t>self</w:t>
      </w:r>
      <w:r w:rsidR="002639BC">
        <w:t>-</w:t>
      </w:r>
      <w:r w:rsidR="009D5E63">
        <w:t>review summary report</w:t>
      </w:r>
      <w:r w:rsidR="00C5655A">
        <w:t>,</w:t>
      </w:r>
      <w:r w:rsidR="00F54D13">
        <w:t xml:space="preserve"> improvement </w:t>
      </w:r>
      <w:r w:rsidR="0072738B">
        <w:t xml:space="preserve">plan </w:t>
      </w:r>
      <w:r w:rsidR="00C5655A">
        <w:t xml:space="preserve">and completion of the disproportionality calculator </w:t>
      </w:r>
      <w:r w:rsidR="0072738B">
        <w:t xml:space="preserve">within the </w:t>
      </w:r>
      <w:r w:rsidR="091B51FA">
        <w:t>D</w:t>
      </w:r>
      <w:r w:rsidR="009D5E63">
        <w:t xml:space="preserve">epartment’s </w:t>
      </w:r>
      <w:r w:rsidR="0072738B">
        <w:t>electronic compliance</w:t>
      </w:r>
      <w:r w:rsidR="003E7B8F">
        <w:t xml:space="preserve"> dashboard</w:t>
      </w:r>
      <w:r w:rsidR="001A4E2B">
        <w:t xml:space="preserve">. </w:t>
      </w:r>
      <w:r w:rsidR="00B62868">
        <w:t xml:space="preserve">The </w:t>
      </w:r>
      <w:r w:rsidR="003E011C">
        <w:t>s</w:t>
      </w:r>
      <w:r w:rsidR="00B62868">
        <w:t>elf-</w:t>
      </w:r>
      <w:r w:rsidR="003E011C">
        <w:t>r</w:t>
      </w:r>
      <w:r w:rsidR="00B62868">
        <w:t xml:space="preserve">eview </w:t>
      </w:r>
      <w:r w:rsidR="00EF0947">
        <w:t xml:space="preserve">for alternate assessment </w:t>
      </w:r>
      <w:r w:rsidR="00FD0C60">
        <w:t>require</w:t>
      </w:r>
      <w:r w:rsidR="004A5EA9">
        <w:t>s</w:t>
      </w:r>
      <w:r w:rsidR="00EF0947">
        <w:t xml:space="preserve"> </w:t>
      </w:r>
      <w:r w:rsidR="00E56BD1">
        <w:t>a</w:t>
      </w:r>
      <w:r w:rsidR="00044D2D">
        <w:t xml:space="preserve">nalysis of participation rates by </w:t>
      </w:r>
      <w:r w:rsidR="00102A46">
        <w:t>disability category.</w:t>
      </w:r>
      <w:r w:rsidR="00FE6497">
        <w:t xml:space="preserve"> </w:t>
      </w:r>
      <w:r w:rsidR="003C47C8">
        <w:t xml:space="preserve">State support teams </w:t>
      </w:r>
      <w:r w:rsidR="00380801">
        <w:t xml:space="preserve">assist </w:t>
      </w:r>
      <w:r w:rsidR="003C47C8">
        <w:t>d</w:t>
      </w:r>
      <w:r w:rsidR="006A411A">
        <w:t xml:space="preserve">istricts and community schools </w:t>
      </w:r>
      <w:r w:rsidR="7A65FB99">
        <w:t>in</w:t>
      </w:r>
      <w:r w:rsidR="7353BD41">
        <w:t xml:space="preserve"> </w:t>
      </w:r>
      <w:r w:rsidR="6F1ABCFD">
        <w:t>complet</w:t>
      </w:r>
      <w:r w:rsidR="64BA1C2A">
        <w:t>ing</w:t>
      </w:r>
      <w:r w:rsidR="00E9151A">
        <w:t xml:space="preserve"> the </w:t>
      </w:r>
      <w:r w:rsidR="003E011C">
        <w:t>s</w:t>
      </w:r>
      <w:r w:rsidR="00E9151A">
        <w:t xml:space="preserve">elf-review and </w:t>
      </w:r>
      <w:r w:rsidR="3BF410C6">
        <w:t>develop</w:t>
      </w:r>
      <w:r w:rsidR="47EE6FCC">
        <w:t>ing</w:t>
      </w:r>
      <w:r w:rsidR="00E9151A">
        <w:t xml:space="preserve"> </w:t>
      </w:r>
      <w:r w:rsidR="003A1BC7">
        <w:t xml:space="preserve">aligned </w:t>
      </w:r>
      <w:r w:rsidR="00F846FD">
        <w:t>improvement</w:t>
      </w:r>
      <w:r w:rsidR="00E9151A">
        <w:t xml:space="preserve"> plans.</w:t>
      </w:r>
    </w:p>
    <w:p w14:paraId="667769D4" w14:textId="088CBA57" w:rsidR="003D6618" w:rsidRDefault="000E1290" w:rsidP="009F2862">
      <w:pPr>
        <w:spacing w:after="0"/>
      </w:pPr>
      <w:r>
        <w:t xml:space="preserve">For the </w:t>
      </w:r>
      <w:r w:rsidR="00571C3A">
        <w:t>2020-2021</w:t>
      </w:r>
      <w:r>
        <w:t xml:space="preserve"> school year, t</w:t>
      </w:r>
      <w:r w:rsidR="006E3422">
        <w:t xml:space="preserve">he </w:t>
      </w:r>
      <w:r>
        <w:t xml:space="preserve">Department’s </w:t>
      </w:r>
      <w:r w:rsidR="006E3422">
        <w:t xml:space="preserve">Alternate Assessment Workgroup concluded that the </w:t>
      </w:r>
      <w:r w:rsidR="00DC422E">
        <w:t>self</w:t>
      </w:r>
      <w:r w:rsidR="006E3422">
        <w:t>-</w:t>
      </w:r>
      <w:r w:rsidR="00DC422E">
        <w:t xml:space="preserve">review summary report </w:t>
      </w:r>
      <w:r w:rsidR="006E3422">
        <w:t>could be improved to engage districts and community schools in more rigorous data analysis, especially</w:t>
      </w:r>
      <w:r w:rsidR="00E17CB4">
        <w:t xml:space="preserve"> </w:t>
      </w:r>
      <w:r w:rsidR="00DC3E68">
        <w:t xml:space="preserve">concerning </w:t>
      </w:r>
      <w:r w:rsidR="006E3422">
        <w:t>disproportionality data.</w:t>
      </w:r>
      <w:r w:rsidR="0037376D">
        <w:t xml:space="preserve"> </w:t>
      </w:r>
      <w:r w:rsidR="00FD06ED" w:rsidRPr="00FD06ED">
        <w:t>In addition to analyzing participation by disability category, the revised self-review require</w:t>
      </w:r>
      <w:r w:rsidR="00571C3A">
        <w:t>s</w:t>
      </w:r>
      <w:r w:rsidR="00FD06ED" w:rsidRPr="00FD06ED">
        <w:t xml:space="preserve"> analysis of participation data by race and ethnicity. </w:t>
      </w:r>
      <w:bookmarkStart w:id="40" w:name="_Toc524527561"/>
      <w:bookmarkStart w:id="41" w:name="_Toc20039353"/>
      <w:bookmarkStart w:id="42" w:name="_Toc54954299"/>
    </w:p>
    <w:p w14:paraId="0CEA0960" w14:textId="77777777" w:rsidR="00173093" w:rsidRPr="00173093" w:rsidRDefault="00173093" w:rsidP="00173093">
      <w:pPr>
        <w:rPr>
          <w:rStyle w:val="Heading2Char"/>
          <w:b/>
        </w:rPr>
      </w:pPr>
    </w:p>
    <w:p w14:paraId="63602D81" w14:textId="57CB7288" w:rsidR="00D6040D" w:rsidRPr="00571C3A" w:rsidRDefault="001E57AB" w:rsidP="00571C3A">
      <w:pPr>
        <w:spacing w:line="259" w:lineRule="auto"/>
        <w:jc w:val="center"/>
        <w:rPr>
          <w:b/>
        </w:rPr>
      </w:pPr>
      <w:r w:rsidRPr="00571C3A">
        <w:rPr>
          <w:rStyle w:val="Heading2Char"/>
          <w:b/>
        </w:rPr>
        <w:t xml:space="preserve">Component </w:t>
      </w:r>
      <w:bookmarkEnd w:id="40"/>
      <w:r w:rsidR="0067786F" w:rsidRPr="00571C3A">
        <w:rPr>
          <w:rStyle w:val="Heading2Char"/>
          <w:b/>
        </w:rPr>
        <w:t>4A</w:t>
      </w:r>
      <w:bookmarkEnd w:id="41"/>
      <w:bookmarkEnd w:id="42"/>
    </w:p>
    <w:p w14:paraId="59FE10C9" w14:textId="17FA5B16" w:rsidR="0067786F" w:rsidRDefault="0067786F" w:rsidP="00191E6E">
      <w:pPr>
        <w:rPr>
          <w:b/>
          <w:i/>
        </w:rPr>
      </w:pPr>
      <w:r>
        <w:rPr>
          <w:b/>
          <w:i/>
        </w:rPr>
        <w:t>Include a plan and timeline for improving the implementation of its guidelines for participation in the alternate assessment.</w:t>
      </w:r>
    </w:p>
    <w:p w14:paraId="0D9CDF1D" w14:textId="6EE83FB9" w:rsidR="000B382A" w:rsidRDefault="005A750C" w:rsidP="003D118F">
      <w:r>
        <w:t xml:space="preserve">The Department has made significant progress in improving the </w:t>
      </w:r>
      <w:r w:rsidR="00A117EE">
        <w:t>use</w:t>
      </w:r>
      <w:r>
        <w:t xml:space="preserve"> of </w:t>
      </w:r>
      <w:r w:rsidR="009148CC">
        <w:t>state</w:t>
      </w:r>
      <w:r>
        <w:t xml:space="preserve"> guidelines for participation in the alternate assessment</w:t>
      </w:r>
      <w:r w:rsidR="008B68FD">
        <w:t xml:space="preserve"> by implementing the Alternate Assessment Participation Decision-Making Tool</w:t>
      </w:r>
      <w:r>
        <w:t>.</w:t>
      </w:r>
      <w:r w:rsidR="001E6A27">
        <w:t xml:space="preserve"> A significant improvement was completed in </w:t>
      </w:r>
      <w:r w:rsidR="00275FAA">
        <w:t xml:space="preserve">spring </w:t>
      </w:r>
      <w:r w:rsidR="00F9297D">
        <w:t xml:space="preserve">2020 </w:t>
      </w:r>
      <w:r w:rsidR="001E6A27">
        <w:t>when t</w:t>
      </w:r>
      <w:r>
        <w:t xml:space="preserve">he Office for Exceptional Children </w:t>
      </w:r>
      <w:r w:rsidR="00AD34A3">
        <w:t>embedded</w:t>
      </w:r>
      <w:r>
        <w:t xml:space="preserve"> </w:t>
      </w:r>
      <w:r w:rsidR="00585471">
        <w:t>the State’s participation</w:t>
      </w:r>
      <w:r>
        <w:t xml:space="preserve"> guidelines into its online, </w:t>
      </w:r>
      <w:r w:rsidR="00DD5F74">
        <w:t>dynamic</w:t>
      </w:r>
      <w:r>
        <w:t xml:space="preserve"> </w:t>
      </w:r>
      <w:r w:rsidR="00A926C5">
        <w:t>Individualized Education Program</w:t>
      </w:r>
      <w:r>
        <w:t xml:space="preserve"> form. </w:t>
      </w:r>
      <w:r w:rsidR="004D25F1">
        <w:t xml:space="preserve">The </w:t>
      </w:r>
      <w:r w:rsidR="00DD5F74">
        <w:t xml:space="preserve">dynamic </w:t>
      </w:r>
      <w:r w:rsidR="004D25F1">
        <w:t>form links directly to th</w:t>
      </w:r>
      <w:r w:rsidR="00F9297D">
        <w:t>is</w:t>
      </w:r>
      <w:r w:rsidR="004D25F1">
        <w:t xml:space="preserve"> participation criteria </w:t>
      </w:r>
      <w:r w:rsidR="00FE7409">
        <w:t>document</w:t>
      </w:r>
      <w:r w:rsidR="000974EA">
        <w:t>.</w:t>
      </w:r>
      <w:r w:rsidR="0015727D">
        <w:t xml:space="preserve"> </w:t>
      </w:r>
    </w:p>
    <w:p w14:paraId="6A6F3ABB" w14:textId="562804F8" w:rsidR="0063311B" w:rsidRPr="003D118F" w:rsidRDefault="0063311B" w:rsidP="0064667F">
      <w:pPr>
        <w:pStyle w:val="Heading3"/>
      </w:pPr>
      <w:bookmarkStart w:id="43" w:name="_Toc20039354"/>
      <w:bookmarkStart w:id="44" w:name="_Toc54954300"/>
      <w:r w:rsidRPr="003D118F">
        <w:t>Evidence of Progress</w:t>
      </w:r>
      <w:bookmarkEnd w:id="43"/>
      <w:bookmarkEnd w:id="44"/>
    </w:p>
    <w:p w14:paraId="365BD7AD" w14:textId="19D56111" w:rsidR="003E4B4E" w:rsidRDefault="00B544A0" w:rsidP="00B544A0">
      <w:r>
        <w:t>The Department</w:t>
      </w:r>
      <w:r w:rsidR="004F7F63">
        <w:t>’s updated tool</w:t>
      </w:r>
      <w:r w:rsidR="007C5B59">
        <w:t xml:space="preserve">, </w:t>
      </w:r>
      <w:r w:rsidR="00A83BD9">
        <w:t>t</w:t>
      </w:r>
      <w:r w:rsidR="00AB74D5">
        <w:t xml:space="preserve">he </w:t>
      </w:r>
      <w:r w:rsidR="007C5B59" w:rsidRPr="00AB74D5">
        <w:t>Alternate Assessment Participation Decision-Making Tool</w:t>
      </w:r>
      <w:r w:rsidR="00422603">
        <w:t xml:space="preserve">, </w:t>
      </w:r>
      <w:r w:rsidR="007C5B59">
        <w:t xml:space="preserve">is organized in sections correlated to </w:t>
      </w:r>
      <w:r w:rsidR="00AB74D5">
        <w:t xml:space="preserve">Ohio’s </w:t>
      </w:r>
      <w:r w:rsidR="007C5B59">
        <w:t xml:space="preserve">participation criteria to provide additional guidance and specificity to the </w:t>
      </w:r>
      <w:r w:rsidR="007C5B59">
        <w:lastRenderedPageBreak/>
        <w:t xml:space="preserve">participation criteria. The Department’s Supports and Monitoring Team in the Office for Exceptional Children </w:t>
      </w:r>
      <w:r w:rsidR="00275FAA">
        <w:t xml:space="preserve">continues to use </w:t>
      </w:r>
      <w:r w:rsidR="007C5B59">
        <w:t>the new tool with</w:t>
      </w:r>
      <w:r w:rsidR="00EB6C8E">
        <w:t xml:space="preserve"> </w:t>
      </w:r>
      <w:r w:rsidR="00294763">
        <w:t xml:space="preserve">Individualized Education Program </w:t>
      </w:r>
      <w:r w:rsidR="00EB6C8E">
        <w:t xml:space="preserve">teams </w:t>
      </w:r>
      <w:r w:rsidR="007C5B59">
        <w:t xml:space="preserve">in </w:t>
      </w:r>
      <w:r w:rsidR="00C95C90">
        <w:t>targeted districts and community schools, including those identified as Tier 3</w:t>
      </w:r>
      <w:r w:rsidR="00A920F2">
        <w:t xml:space="preserve">. </w:t>
      </w:r>
      <w:r w:rsidR="00AB74D5">
        <w:t xml:space="preserve"> </w:t>
      </w:r>
    </w:p>
    <w:p w14:paraId="65B2A659" w14:textId="3EDA66AB" w:rsidR="00EF64B2" w:rsidRDefault="005D527D" w:rsidP="001718CC">
      <w:bookmarkStart w:id="45" w:name="_Hlk20739285"/>
      <w:r>
        <w:t xml:space="preserve">The Department worked with its testing contractor, </w:t>
      </w:r>
      <w:r w:rsidR="00075F5C">
        <w:t>Cambium Assessment</w:t>
      </w:r>
      <w:r w:rsidR="002A5F4B">
        <w:t>,</w:t>
      </w:r>
      <w:r w:rsidR="00075F5C">
        <w:t xml:space="preserve"> Inc.</w:t>
      </w:r>
      <w:r>
        <w:t xml:space="preserve">, to address the concern that many students with disabilities </w:t>
      </w:r>
      <w:r w:rsidR="002A5F4B">
        <w:t xml:space="preserve">who </w:t>
      </w:r>
      <w:r>
        <w:t xml:space="preserve">do not include an intellectual component are assigned to the alternate assessment. </w:t>
      </w:r>
      <w:r w:rsidR="00672DC4">
        <w:t>In</w:t>
      </w:r>
      <w:r w:rsidR="00AB74D5">
        <w:t xml:space="preserve"> </w:t>
      </w:r>
      <w:r w:rsidR="00672DC4">
        <w:t>2020-2021</w:t>
      </w:r>
      <w:r w:rsidR="00AB74D5">
        <w:t>, t</w:t>
      </w:r>
      <w:r w:rsidR="009301AA">
        <w:t xml:space="preserve">he Department </w:t>
      </w:r>
      <w:r w:rsidR="00672DC4">
        <w:t>require</w:t>
      </w:r>
      <w:r w:rsidR="002A11FD">
        <w:t>d</w:t>
      </w:r>
      <w:r>
        <w:t xml:space="preserve"> assessment </w:t>
      </w:r>
      <w:r w:rsidR="00AB74D5">
        <w:t xml:space="preserve">enrollment </w:t>
      </w:r>
      <w:r w:rsidR="003A24F0">
        <w:t>procedures</w:t>
      </w:r>
      <w:r>
        <w:t xml:space="preserve"> </w:t>
      </w:r>
      <w:r w:rsidR="00B525A6">
        <w:t xml:space="preserve">for districts to </w:t>
      </w:r>
      <w:r>
        <w:t xml:space="preserve">submit the disability category for each student when alternate assessment is selected as their test type. </w:t>
      </w:r>
      <w:r w:rsidR="007675A1">
        <w:t xml:space="preserve">The Department </w:t>
      </w:r>
      <w:r w:rsidR="00B525A6">
        <w:t xml:space="preserve">does </w:t>
      </w:r>
      <w:r w:rsidR="007675A1">
        <w:t>not consider t</w:t>
      </w:r>
      <w:r w:rsidR="001718CC" w:rsidRPr="001718CC">
        <w:t>est record</w:t>
      </w:r>
      <w:r w:rsidR="001718CC">
        <w:t>s</w:t>
      </w:r>
      <w:r w:rsidR="001718CC" w:rsidRPr="001718CC">
        <w:t xml:space="preserve"> </w:t>
      </w:r>
      <w:r w:rsidR="001718CC">
        <w:t>complete for</w:t>
      </w:r>
      <w:r w:rsidR="007675A1">
        <w:t xml:space="preserve"> participating</w:t>
      </w:r>
      <w:r w:rsidR="001718CC">
        <w:t xml:space="preserve"> </w:t>
      </w:r>
      <w:r w:rsidR="001718CC" w:rsidRPr="001718CC">
        <w:t>student</w:t>
      </w:r>
      <w:r w:rsidR="001718CC">
        <w:t>s</w:t>
      </w:r>
      <w:r w:rsidR="001718CC" w:rsidRPr="001718CC">
        <w:t xml:space="preserve"> </w:t>
      </w:r>
      <w:r w:rsidR="001718CC">
        <w:t xml:space="preserve">until a </w:t>
      </w:r>
      <w:r w:rsidR="001718CC" w:rsidRPr="001718CC">
        <w:t>disability type is identified</w:t>
      </w:r>
      <w:r w:rsidR="00206705">
        <w:t>.</w:t>
      </w:r>
      <w:r w:rsidR="001718CC">
        <w:t xml:space="preserve"> The goal</w:t>
      </w:r>
      <w:r w:rsidR="005F6E9E">
        <w:t xml:space="preserve"> is </w:t>
      </w:r>
      <w:r w:rsidR="001718CC">
        <w:t>to provide another opportunity for educators to reflect on and affirm the team’s decision</w:t>
      </w:r>
      <w:r w:rsidR="00A20917">
        <w:t xml:space="preserve"> to use the alternate assessment.</w:t>
      </w:r>
      <w:r w:rsidR="005814A6">
        <w:t xml:space="preserve"> Due to COVID-19 and interrupted testing, the Department was unable to analyze if this new requirement appeared to have any impact on alternate assessment participation. The Department will compare the testing data from school year 2018-2019 with 2020-2021 to see if any correlation can be made between including this additional step and a reduction in participation.</w:t>
      </w:r>
      <w:r w:rsidR="00F16CF5">
        <w:t xml:space="preserve"> </w:t>
      </w:r>
    </w:p>
    <w:p w14:paraId="095FF338" w14:textId="70E1F4A0" w:rsidR="005D527D" w:rsidRDefault="005D527D" w:rsidP="00EF64B2">
      <w:pPr>
        <w:pStyle w:val="Heading3"/>
      </w:pPr>
      <w:bookmarkStart w:id="46" w:name="_Toc54954301"/>
      <w:bookmarkEnd w:id="45"/>
      <w:r w:rsidRPr="00EF64B2">
        <w:t>Timeline for Improving Implementation of Guidelines</w:t>
      </w:r>
      <w:bookmarkEnd w:id="46"/>
      <w:r w:rsidRPr="00EF64B2">
        <w:tab/>
      </w:r>
    </w:p>
    <w:p w14:paraId="4FB7AEBD" w14:textId="69972A2C" w:rsidR="004C426B" w:rsidRDefault="00A920F2" w:rsidP="00B544A0">
      <w:r w:rsidRPr="00AB74D5">
        <w:rPr>
          <w:b/>
        </w:rPr>
        <w:t xml:space="preserve">September </w:t>
      </w:r>
      <w:r w:rsidR="00AB74D5" w:rsidRPr="00AB74D5">
        <w:rPr>
          <w:b/>
        </w:rPr>
        <w:t>20</w:t>
      </w:r>
      <w:r w:rsidR="002115C4">
        <w:rPr>
          <w:b/>
        </w:rPr>
        <w:t>20</w:t>
      </w:r>
      <w:r w:rsidR="00AB74D5">
        <w:rPr>
          <w:b/>
        </w:rPr>
        <w:t xml:space="preserve"> </w:t>
      </w:r>
      <w:r w:rsidRPr="00AB74D5">
        <w:rPr>
          <w:b/>
        </w:rPr>
        <w:t xml:space="preserve">through </w:t>
      </w:r>
      <w:r w:rsidR="00AB74D5">
        <w:rPr>
          <w:b/>
        </w:rPr>
        <w:t>May 202</w:t>
      </w:r>
      <w:r w:rsidR="002115C4">
        <w:rPr>
          <w:b/>
        </w:rPr>
        <w:t>1</w:t>
      </w:r>
      <w:r w:rsidRPr="00AB74D5">
        <w:rPr>
          <w:b/>
        </w:rPr>
        <w:t>:</w:t>
      </w:r>
      <w:r w:rsidRPr="000B0C95">
        <w:t xml:space="preserve"> </w:t>
      </w:r>
      <w:r w:rsidR="00AB74D5" w:rsidRPr="000B0C95">
        <w:t xml:space="preserve">The Workgroup </w:t>
      </w:r>
      <w:r w:rsidR="00C50666">
        <w:t>provided training and support</w:t>
      </w:r>
      <w:r w:rsidR="004C426B" w:rsidRPr="000B0C95">
        <w:t xml:space="preserve"> </w:t>
      </w:r>
      <w:r w:rsidR="00040032">
        <w:t xml:space="preserve">to </w:t>
      </w:r>
      <w:r w:rsidR="004C426B" w:rsidRPr="000B0C95">
        <w:t>e</w:t>
      </w:r>
      <w:r w:rsidR="00900461" w:rsidRPr="000B0C95">
        <w:t xml:space="preserve">xternal </w:t>
      </w:r>
      <w:r>
        <w:t>stakeholder groups</w:t>
      </w:r>
      <w:r w:rsidR="000A1837">
        <w:t>,</w:t>
      </w:r>
      <w:r>
        <w:t xml:space="preserve"> including</w:t>
      </w:r>
      <w:r w:rsidR="00C25D00">
        <w:t xml:space="preserve"> the following</w:t>
      </w:r>
      <w:r w:rsidR="004C426B">
        <w:t>:</w:t>
      </w:r>
    </w:p>
    <w:p w14:paraId="41CD63D8" w14:textId="69FDF205" w:rsidR="004C426B" w:rsidRDefault="004C426B" w:rsidP="004C426B">
      <w:pPr>
        <w:pStyle w:val="ListParagraph"/>
        <w:numPr>
          <w:ilvl w:val="0"/>
          <w:numId w:val="27"/>
        </w:numPr>
      </w:pPr>
      <w:r>
        <w:t>T</w:t>
      </w:r>
      <w:r w:rsidR="00A920F2">
        <w:t>he State Advisory Panel for Exceptional Children</w:t>
      </w:r>
      <w:r>
        <w:t xml:space="preserve"> (SAPEC)</w:t>
      </w:r>
    </w:p>
    <w:p w14:paraId="681A177E" w14:textId="5506ED8C" w:rsidR="004C426B" w:rsidRDefault="004C426B" w:rsidP="004C426B">
      <w:pPr>
        <w:pStyle w:val="ListParagraph"/>
        <w:numPr>
          <w:ilvl w:val="0"/>
          <w:numId w:val="27"/>
        </w:numPr>
      </w:pPr>
      <w:r>
        <w:t>The</w:t>
      </w:r>
      <w:r w:rsidR="00A920F2">
        <w:t xml:space="preserve"> Ohio Association of Pupil Services Administrators</w:t>
      </w:r>
      <w:r>
        <w:t xml:space="preserve"> (OAPSA)</w:t>
      </w:r>
    </w:p>
    <w:p w14:paraId="30D44A72" w14:textId="77777777" w:rsidR="00AA0B7B" w:rsidRDefault="004C426B" w:rsidP="004C426B">
      <w:pPr>
        <w:pStyle w:val="ListParagraph"/>
        <w:numPr>
          <w:ilvl w:val="0"/>
          <w:numId w:val="27"/>
        </w:numPr>
      </w:pPr>
      <w:r>
        <w:t>The</w:t>
      </w:r>
      <w:r w:rsidR="00A920F2">
        <w:t xml:space="preserve"> Students with Disabilities Testing Advisory </w:t>
      </w:r>
    </w:p>
    <w:p w14:paraId="0A79EF34" w14:textId="2DABBF3D" w:rsidR="004C426B" w:rsidRDefault="004C426B" w:rsidP="004C426B">
      <w:pPr>
        <w:pStyle w:val="ListParagraph"/>
        <w:numPr>
          <w:ilvl w:val="0"/>
          <w:numId w:val="27"/>
        </w:numPr>
      </w:pPr>
      <w:r>
        <w:t xml:space="preserve">The Ohio Assistive Technology and Accessible </w:t>
      </w:r>
      <w:r w:rsidR="00601FFD">
        <w:t>Educational</w:t>
      </w:r>
      <w:r>
        <w:t xml:space="preserve"> Materials network</w:t>
      </w:r>
    </w:p>
    <w:p w14:paraId="29885595" w14:textId="734728EC" w:rsidR="004C426B" w:rsidRDefault="004C426B" w:rsidP="004C426B">
      <w:pPr>
        <w:pStyle w:val="ListParagraph"/>
        <w:numPr>
          <w:ilvl w:val="0"/>
          <w:numId w:val="27"/>
        </w:numPr>
      </w:pPr>
      <w:r>
        <w:t>The Low Incidence and Autism Spectrum Disorder network</w:t>
      </w:r>
    </w:p>
    <w:p w14:paraId="22821FA9" w14:textId="5D14F9A3" w:rsidR="004C426B" w:rsidRDefault="004C426B" w:rsidP="004C426B">
      <w:pPr>
        <w:pStyle w:val="ListParagraph"/>
        <w:numPr>
          <w:ilvl w:val="0"/>
          <w:numId w:val="27"/>
        </w:numPr>
      </w:pPr>
      <w:r>
        <w:t>The State Support Team Directors</w:t>
      </w:r>
    </w:p>
    <w:p w14:paraId="08B9BA7C" w14:textId="60C66829" w:rsidR="004C426B" w:rsidRDefault="004C426B" w:rsidP="004C426B">
      <w:pPr>
        <w:pStyle w:val="ListParagraph"/>
        <w:numPr>
          <w:ilvl w:val="0"/>
          <w:numId w:val="27"/>
        </w:numPr>
      </w:pPr>
      <w:r>
        <w:t>The State Support Team Alternate Assessment trainers</w:t>
      </w:r>
    </w:p>
    <w:p w14:paraId="3696DA5E" w14:textId="513DBB1F" w:rsidR="004C426B" w:rsidRDefault="004C426B" w:rsidP="004C426B">
      <w:pPr>
        <w:pStyle w:val="ListParagraph"/>
        <w:numPr>
          <w:ilvl w:val="0"/>
          <w:numId w:val="27"/>
        </w:numPr>
      </w:pPr>
      <w:r>
        <w:t>The Alternate Assessment Content and Fairness review committee</w:t>
      </w:r>
    </w:p>
    <w:p w14:paraId="484082EE" w14:textId="52AE2C21" w:rsidR="004C426B" w:rsidRDefault="004C426B" w:rsidP="004C426B">
      <w:pPr>
        <w:pStyle w:val="ListParagraph"/>
        <w:numPr>
          <w:ilvl w:val="0"/>
          <w:numId w:val="27"/>
        </w:numPr>
      </w:pPr>
      <w:r>
        <w:t xml:space="preserve">The Ohio Test </w:t>
      </w:r>
      <w:r w:rsidR="00A06E0A">
        <w:t xml:space="preserve">Steering </w:t>
      </w:r>
      <w:r>
        <w:t>Committee</w:t>
      </w:r>
    </w:p>
    <w:p w14:paraId="2004DA36" w14:textId="77777777" w:rsidR="00547B40" w:rsidRDefault="004C426B" w:rsidP="00547B40">
      <w:pPr>
        <w:pStyle w:val="ListParagraph"/>
        <w:numPr>
          <w:ilvl w:val="0"/>
          <w:numId w:val="27"/>
        </w:numPr>
      </w:pPr>
      <w:r>
        <w:t>The Ohio Test Steering Committee</w:t>
      </w:r>
    </w:p>
    <w:p w14:paraId="5E0DC7FA" w14:textId="56FF6CFC" w:rsidR="004C426B" w:rsidRDefault="004C426B" w:rsidP="00547B40">
      <w:pPr>
        <w:pStyle w:val="ListParagraph"/>
        <w:numPr>
          <w:ilvl w:val="0"/>
          <w:numId w:val="27"/>
        </w:numPr>
      </w:pPr>
      <w:bookmarkStart w:id="47" w:name="_Hlk85894090"/>
      <w:r>
        <w:t>The Council of Chief State School Officers (CCSSO) Assessment, Standards and Education of Students with Disabilities (ASES) State Collaborative on Assessment, Standards and Students (SCASS)</w:t>
      </w:r>
    </w:p>
    <w:bookmarkEnd w:id="47"/>
    <w:p w14:paraId="2C17050F" w14:textId="77777777" w:rsidR="004C426B" w:rsidRDefault="004C426B" w:rsidP="004C426B">
      <w:pPr>
        <w:pStyle w:val="ListParagraph"/>
        <w:numPr>
          <w:ilvl w:val="0"/>
          <w:numId w:val="27"/>
        </w:numPr>
      </w:pPr>
      <w:r>
        <w:t>The National Center for Educational Outcomes (NCEO)</w:t>
      </w:r>
    </w:p>
    <w:p w14:paraId="7BCDEBBA" w14:textId="77777777" w:rsidR="00CF5811" w:rsidRDefault="00CF5811" w:rsidP="00273760">
      <w:pPr>
        <w:pStyle w:val="Heading2"/>
        <w:rPr>
          <w:rStyle w:val="Heading2Char"/>
          <w:b/>
        </w:rPr>
      </w:pPr>
      <w:bookmarkStart w:id="48" w:name="_Toc20039355"/>
      <w:bookmarkStart w:id="49" w:name="_Toc524527562"/>
    </w:p>
    <w:p w14:paraId="62D9AB6E" w14:textId="621C8958" w:rsidR="0067786F" w:rsidRPr="00D6040D" w:rsidRDefault="0067786F" w:rsidP="00273760">
      <w:pPr>
        <w:pStyle w:val="Heading2"/>
      </w:pPr>
      <w:bookmarkStart w:id="50" w:name="_Toc54954304"/>
      <w:r w:rsidRPr="00D6040D">
        <w:rPr>
          <w:rStyle w:val="Heading2Char"/>
          <w:b/>
        </w:rPr>
        <w:t xml:space="preserve">Component </w:t>
      </w:r>
      <w:r>
        <w:rPr>
          <w:rStyle w:val="Heading2Char"/>
          <w:b/>
        </w:rPr>
        <w:t>4B</w:t>
      </w:r>
      <w:bookmarkEnd w:id="48"/>
      <w:bookmarkEnd w:id="50"/>
      <w:r w:rsidRPr="00D6040D">
        <w:t xml:space="preserve"> </w:t>
      </w:r>
    </w:p>
    <w:p w14:paraId="5392971E" w14:textId="2CA1AAF9" w:rsidR="0067786F" w:rsidRDefault="0067786F" w:rsidP="0067786F">
      <w:pPr>
        <w:rPr>
          <w:b/>
          <w:i/>
        </w:rPr>
      </w:pPr>
      <w:r>
        <w:rPr>
          <w:b/>
          <w:i/>
        </w:rPr>
        <w:t xml:space="preserve">Include additional steps to support and provide oversight to each district or community school projected to </w:t>
      </w:r>
      <w:r w:rsidR="000B382A">
        <w:rPr>
          <w:b/>
          <w:i/>
        </w:rPr>
        <w:t>exc</w:t>
      </w:r>
      <w:r w:rsidR="00AD2DD1">
        <w:rPr>
          <w:b/>
          <w:i/>
        </w:rPr>
        <w:t>e</w:t>
      </w:r>
      <w:r w:rsidR="000B382A">
        <w:rPr>
          <w:b/>
          <w:i/>
        </w:rPr>
        <w:t xml:space="preserve">ed the 1 percent threshold. </w:t>
      </w:r>
    </w:p>
    <w:p w14:paraId="215C10E1" w14:textId="60EA5A87" w:rsidR="00F20243" w:rsidRPr="001E57AB" w:rsidRDefault="00F20243" w:rsidP="003D118F">
      <w:pPr>
        <w:pStyle w:val="Heading3"/>
        <w:ind w:left="0" w:firstLine="720"/>
      </w:pPr>
      <w:bookmarkStart w:id="51" w:name="_Toc20039356"/>
      <w:bookmarkStart w:id="52" w:name="_Toc54954305"/>
      <w:r w:rsidRPr="001E57AB">
        <w:t>Tiered Intervention and Monitoring Plan</w:t>
      </w:r>
      <w:bookmarkEnd w:id="49"/>
      <w:bookmarkEnd w:id="51"/>
      <w:bookmarkEnd w:id="52"/>
    </w:p>
    <w:p w14:paraId="23B1A623" w14:textId="693B8A9C" w:rsidR="00651A68" w:rsidRDefault="00B635B9" w:rsidP="005822E4">
      <w:r w:rsidRPr="008E3D0D">
        <w:t xml:space="preserve">The Department continues to work </w:t>
      </w:r>
      <w:r w:rsidR="008E6C14">
        <w:t xml:space="preserve">with districts and community schools directly and through assistance of the </w:t>
      </w:r>
      <w:r w:rsidR="00773B89">
        <w:t>S</w:t>
      </w:r>
      <w:r w:rsidR="008E6C14">
        <w:t xml:space="preserve">tate’s </w:t>
      </w:r>
      <w:r w:rsidR="0031351E">
        <w:t xml:space="preserve">16 regional </w:t>
      </w:r>
      <w:hyperlink r:id="rId26" w:history="1">
        <w:r w:rsidR="00703822">
          <w:rPr>
            <w:rStyle w:val="Hyperlink"/>
          </w:rPr>
          <w:t>s</w:t>
        </w:r>
        <w:r w:rsidR="0031351E" w:rsidRPr="0031351E">
          <w:rPr>
            <w:rStyle w:val="Hyperlink"/>
          </w:rPr>
          <w:t xml:space="preserve">tate </w:t>
        </w:r>
        <w:r w:rsidR="00703822">
          <w:rPr>
            <w:rStyle w:val="Hyperlink"/>
          </w:rPr>
          <w:t>s</w:t>
        </w:r>
        <w:r w:rsidR="0031351E" w:rsidRPr="0031351E">
          <w:rPr>
            <w:rStyle w:val="Hyperlink"/>
          </w:rPr>
          <w:t xml:space="preserve">upport </w:t>
        </w:r>
        <w:r w:rsidR="00703822">
          <w:rPr>
            <w:rStyle w:val="Hyperlink"/>
          </w:rPr>
          <w:t>t</w:t>
        </w:r>
        <w:r w:rsidR="0031351E" w:rsidRPr="0031351E">
          <w:rPr>
            <w:rStyle w:val="Hyperlink"/>
          </w:rPr>
          <w:t>eams</w:t>
        </w:r>
      </w:hyperlink>
      <w:r w:rsidR="0031351E">
        <w:t xml:space="preserve"> </w:t>
      </w:r>
      <w:r w:rsidRPr="008E3D0D">
        <w:t xml:space="preserve">to ensure appropriate participation in the </w:t>
      </w:r>
      <w:r w:rsidR="00880DA1">
        <w:t xml:space="preserve">Alternate Assessment for Students with </w:t>
      </w:r>
      <w:r w:rsidR="00C32DE1">
        <w:t xml:space="preserve">the Most </w:t>
      </w:r>
      <w:r w:rsidR="00880DA1">
        <w:t>Significant Cognitive Disabilities</w:t>
      </w:r>
      <w:r w:rsidR="00E27A30">
        <w:t>.</w:t>
      </w:r>
      <w:r w:rsidRPr="008E3D0D">
        <w:t xml:space="preserve"> The cornerstone of the Department’s multif</w:t>
      </w:r>
      <w:r w:rsidR="007B1A80">
        <w:t>aceted approach is a system of t</w:t>
      </w:r>
      <w:r w:rsidRPr="008E3D0D">
        <w:t xml:space="preserve">iered </w:t>
      </w:r>
      <w:r w:rsidR="007B1A80">
        <w:t>intervention and m</w:t>
      </w:r>
      <w:r w:rsidRPr="008E3D0D">
        <w:t xml:space="preserve">onitoring designed to improve </w:t>
      </w:r>
      <w:r w:rsidR="007850A6">
        <w:t>application</w:t>
      </w:r>
      <w:r w:rsidRPr="008E3D0D">
        <w:t xml:space="preserve"> of state</w:t>
      </w:r>
      <w:r w:rsidR="002770D9">
        <w:t xml:space="preserve"> </w:t>
      </w:r>
      <w:r w:rsidR="007850A6">
        <w:t xml:space="preserve">guidelines </w:t>
      </w:r>
      <w:r w:rsidRPr="008E3D0D">
        <w:t xml:space="preserve">for participation in the </w:t>
      </w:r>
      <w:r w:rsidR="00880DA1">
        <w:t>Alternate Assessment for Students with Significant Cognitive Disabilities</w:t>
      </w:r>
      <w:r w:rsidR="007850A6">
        <w:t>.</w:t>
      </w:r>
      <w:r w:rsidRPr="008E3D0D">
        <w:t xml:space="preserve"> Implementation of the tiered system of support includes collaboration with the state’s 16 regional </w:t>
      </w:r>
      <w:r w:rsidR="00891377" w:rsidRPr="004842FD">
        <w:t>s</w:t>
      </w:r>
      <w:r w:rsidRPr="004842FD">
        <w:t xml:space="preserve">tate </w:t>
      </w:r>
      <w:r w:rsidR="00891377" w:rsidRPr="004842FD">
        <w:t>s</w:t>
      </w:r>
      <w:r w:rsidRPr="004842FD">
        <w:t xml:space="preserve">upport </w:t>
      </w:r>
      <w:r w:rsidR="00891377" w:rsidRPr="004842FD">
        <w:t>t</w:t>
      </w:r>
      <w:r w:rsidRPr="004842FD">
        <w:t>eams</w:t>
      </w:r>
      <w:r w:rsidR="0043795E">
        <w:t>.</w:t>
      </w:r>
      <w:r w:rsidR="00D5598B" w:rsidRPr="008E3D0D">
        <w:t xml:space="preserve"> </w:t>
      </w:r>
      <w:r w:rsidR="00D5598B">
        <w:t xml:space="preserve">For Tier 1 </w:t>
      </w:r>
      <w:r w:rsidR="00D5598B" w:rsidRPr="008E3D0D">
        <w:t>districts and community schools</w:t>
      </w:r>
      <w:r w:rsidR="00D5598B">
        <w:t>, t</w:t>
      </w:r>
      <w:r w:rsidR="00D5598B" w:rsidRPr="008E3D0D">
        <w:t xml:space="preserve">he Department provides professional learning opportunities, tools and </w:t>
      </w:r>
      <w:r w:rsidR="00D5598B" w:rsidRPr="008E3D0D">
        <w:lastRenderedPageBreak/>
        <w:t>resources</w:t>
      </w:r>
      <w:r w:rsidR="00D5598B">
        <w:t xml:space="preserve">. </w:t>
      </w:r>
      <w:r w:rsidR="00D5598B" w:rsidRPr="008E3D0D">
        <w:t xml:space="preserve">For </w:t>
      </w:r>
      <w:r w:rsidR="00D5598B">
        <w:t>Tier</w:t>
      </w:r>
      <w:r w:rsidR="00D5598B" w:rsidRPr="008E3D0D">
        <w:t xml:space="preserve"> 2 and 3</w:t>
      </w:r>
      <w:r w:rsidR="00D5598B">
        <w:t xml:space="preserve"> </w:t>
      </w:r>
      <w:r w:rsidR="00D5598B" w:rsidRPr="008E3D0D">
        <w:t>districts and community schools, the Department</w:t>
      </w:r>
      <w:r w:rsidR="00D5598B">
        <w:t xml:space="preserve"> collaborates with state support teams to</w:t>
      </w:r>
      <w:r w:rsidR="00D5598B" w:rsidRPr="008E3D0D">
        <w:t xml:space="preserve"> provide additional</w:t>
      </w:r>
      <w:r w:rsidR="00D5598B">
        <w:t xml:space="preserve"> intervention, support and</w:t>
      </w:r>
      <w:r w:rsidR="00D5598B" w:rsidRPr="008E3D0D">
        <w:t xml:space="preserve"> monitoring</w:t>
      </w:r>
      <w:r w:rsidR="00CB4F6D">
        <w:t xml:space="preserve"> through the </w:t>
      </w:r>
      <w:r w:rsidR="001331D4">
        <w:t>s</w:t>
      </w:r>
      <w:r w:rsidR="00CB4F6D">
        <w:t xml:space="preserve">elf-review </w:t>
      </w:r>
      <w:r w:rsidR="001331D4">
        <w:t>s</w:t>
      </w:r>
      <w:r w:rsidR="00CB4F6D">
        <w:t xml:space="preserve">ummary </w:t>
      </w:r>
      <w:r w:rsidR="001331D4">
        <w:t>r</w:t>
      </w:r>
      <w:r w:rsidR="00CB4F6D">
        <w:t>eport and improvement plan process</w:t>
      </w:r>
      <w:r w:rsidR="00187A54">
        <w:t xml:space="preserve"> </w:t>
      </w:r>
      <w:r w:rsidR="009F640B">
        <w:t>in addition to</w:t>
      </w:r>
      <w:r w:rsidR="00187A54">
        <w:t xml:space="preserve"> other training opportunities.</w:t>
      </w:r>
      <w:r w:rsidRPr="008E3D0D">
        <w:t xml:space="preserve"> </w:t>
      </w:r>
    </w:p>
    <w:p w14:paraId="7A34D3F8" w14:textId="64D7049E" w:rsidR="00541352" w:rsidRDefault="00093E47" w:rsidP="005822E4">
      <w:pPr>
        <w:rPr>
          <w:rFonts w:eastAsia="Arial"/>
        </w:rPr>
      </w:pPr>
      <w:r w:rsidRPr="008E3D0D">
        <w:rPr>
          <w:rFonts w:eastAsia="Arial"/>
        </w:rPr>
        <w:t>Using submitted justifications</w:t>
      </w:r>
      <w:r w:rsidR="00ED6ABF">
        <w:rPr>
          <w:rFonts w:eastAsia="Arial"/>
        </w:rPr>
        <w:t xml:space="preserve">, </w:t>
      </w:r>
      <w:r w:rsidRPr="008E3D0D">
        <w:rPr>
          <w:rFonts w:eastAsia="Arial"/>
        </w:rPr>
        <w:t>Ohio</w:t>
      </w:r>
      <w:r>
        <w:rPr>
          <w:rFonts w:eastAsia="Arial"/>
        </w:rPr>
        <w:t xml:space="preserve"> School</w:t>
      </w:r>
      <w:r w:rsidRPr="008E3D0D">
        <w:rPr>
          <w:rFonts w:eastAsia="Arial"/>
        </w:rPr>
        <w:t xml:space="preserve"> Report Card data</w:t>
      </w:r>
      <w:r w:rsidR="004A3CE8">
        <w:rPr>
          <w:rFonts w:eastAsia="Arial"/>
        </w:rPr>
        <w:t xml:space="preserve"> and Special Education Profile</w:t>
      </w:r>
      <w:r w:rsidR="00C92BC8">
        <w:rPr>
          <w:rFonts w:eastAsia="Arial"/>
        </w:rPr>
        <w:t>s</w:t>
      </w:r>
      <w:r w:rsidR="005D722D">
        <w:rPr>
          <w:rFonts w:eastAsia="Arial"/>
        </w:rPr>
        <w:t>,</w:t>
      </w:r>
      <w:r w:rsidR="00712061">
        <w:rPr>
          <w:rFonts w:eastAsia="Arial"/>
        </w:rPr>
        <w:t xml:space="preserve"> </w:t>
      </w:r>
      <w:r w:rsidRPr="008E3D0D">
        <w:rPr>
          <w:rFonts w:eastAsia="Arial"/>
        </w:rPr>
        <w:t xml:space="preserve">the Department </w:t>
      </w:r>
      <w:r w:rsidR="0544ACA2" w:rsidRPr="44497033">
        <w:rPr>
          <w:rFonts w:eastAsia="Arial"/>
        </w:rPr>
        <w:t>annually</w:t>
      </w:r>
      <w:r w:rsidR="6E4D7DF4" w:rsidRPr="44497033">
        <w:rPr>
          <w:rFonts w:eastAsia="Arial"/>
        </w:rPr>
        <w:t xml:space="preserve"> </w:t>
      </w:r>
      <w:r w:rsidRPr="008E3D0D">
        <w:rPr>
          <w:rFonts w:eastAsia="Arial"/>
        </w:rPr>
        <w:t>identifie</w:t>
      </w:r>
      <w:r w:rsidR="00C92BC8">
        <w:rPr>
          <w:rFonts w:eastAsia="Arial"/>
        </w:rPr>
        <w:t xml:space="preserve">s </w:t>
      </w:r>
      <w:r w:rsidRPr="008E3D0D">
        <w:rPr>
          <w:rFonts w:eastAsia="Arial"/>
        </w:rPr>
        <w:t xml:space="preserve">the districts and community schools with the </w:t>
      </w:r>
      <w:r w:rsidR="00712061">
        <w:rPr>
          <w:rFonts w:eastAsia="Arial"/>
        </w:rPr>
        <w:t>greatest need</w:t>
      </w:r>
      <w:r w:rsidRPr="008E3D0D">
        <w:rPr>
          <w:rFonts w:eastAsia="Arial"/>
        </w:rPr>
        <w:t xml:space="preserve"> of intervention and support</w:t>
      </w:r>
      <w:bookmarkStart w:id="53" w:name="_Hlk20840273"/>
      <w:r w:rsidR="00F33BA7">
        <w:rPr>
          <w:rFonts w:eastAsia="Arial"/>
        </w:rPr>
        <w:t>.</w:t>
      </w:r>
      <w:r w:rsidRPr="008E3D0D">
        <w:rPr>
          <w:rFonts w:eastAsia="Arial"/>
        </w:rPr>
        <w:t xml:space="preserve"> </w:t>
      </w:r>
      <w:r w:rsidR="00651A68" w:rsidRPr="008E3D0D">
        <w:rPr>
          <w:rFonts w:eastAsia="Arial"/>
        </w:rPr>
        <w:t xml:space="preserve">Of the </w:t>
      </w:r>
      <w:r w:rsidR="00E67042">
        <w:rPr>
          <w:rFonts w:eastAsia="Arial"/>
        </w:rPr>
        <w:t>559</w:t>
      </w:r>
      <w:r w:rsidR="00651A68" w:rsidRPr="008E3D0D">
        <w:rPr>
          <w:rFonts w:eastAsia="Arial"/>
        </w:rPr>
        <w:t xml:space="preserve"> </w:t>
      </w:r>
      <w:r w:rsidR="00495E00">
        <w:rPr>
          <w:rFonts w:eastAsia="Arial"/>
        </w:rPr>
        <w:t xml:space="preserve">school </w:t>
      </w:r>
      <w:r w:rsidR="00651A68" w:rsidRPr="008E3D0D">
        <w:rPr>
          <w:rFonts w:eastAsia="Arial"/>
        </w:rPr>
        <w:t xml:space="preserve">districts </w:t>
      </w:r>
      <w:r w:rsidR="00F94640">
        <w:rPr>
          <w:rFonts w:eastAsia="Arial"/>
        </w:rPr>
        <w:t xml:space="preserve">and community schools </w:t>
      </w:r>
      <w:r w:rsidR="00651A68" w:rsidRPr="008E3D0D">
        <w:rPr>
          <w:rFonts w:eastAsia="Arial"/>
        </w:rPr>
        <w:t>above 1</w:t>
      </w:r>
      <w:r w:rsidR="009127A8">
        <w:rPr>
          <w:rFonts w:eastAsia="Arial"/>
        </w:rPr>
        <w:t>.0</w:t>
      </w:r>
      <w:r w:rsidR="00651A68" w:rsidRPr="008E3D0D">
        <w:rPr>
          <w:rFonts w:eastAsia="Arial"/>
        </w:rPr>
        <w:t xml:space="preserve"> percent participation</w:t>
      </w:r>
      <w:r w:rsidR="001F1AA9">
        <w:rPr>
          <w:rFonts w:eastAsia="Arial"/>
        </w:rPr>
        <w:t xml:space="preserve"> in school year </w:t>
      </w:r>
      <w:r w:rsidR="009127A8">
        <w:rPr>
          <w:rFonts w:eastAsia="Arial"/>
        </w:rPr>
        <w:t>2019-2020</w:t>
      </w:r>
      <w:r w:rsidR="00F94640">
        <w:rPr>
          <w:rFonts w:eastAsia="Arial"/>
        </w:rPr>
        <w:t xml:space="preserve">, the Department </w:t>
      </w:r>
      <w:r w:rsidR="009127A8">
        <w:rPr>
          <w:rFonts w:eastAsia="Arial"/>
        </w:rPr>
        <w:t xml:space="preserve">maintained </w:t>
      </w:r>
      <w:r w:rsidR="00F61A03">
        <w:rPr>
          <w:rFonts w:eastAsia="Arial"/>
        </w:rPr>
        <w:t>8</w:t>
      </w:r>
      <w:r w:rsidR="001F1AA9">
        <w:rPr>
          <w:rFonts w:eastAsia="Arial"/>
        </w:rPr>
        <w:t>3</w:t>
      </w:r>
      <w:r w:rsidR="00F94640">
        <w:rPr>
          <w:rFonts w:eastAsia="Arial"/>
        </w:rPr>
        <w:t xml:space="preserve"> for </w:t>
      </w:r>
      <w:r w:rsidR="00651A68" w:rsidRPr="00D60532">
        <w:rPr>
          <w:rFonts w:eastAsia="Arial"/>
        </w:rPr>
        <w:t>Tier 3 intervention</w:t>
      </w:r>
      <w:r w:rsidR="00C92BC8">
        <w:rPr>
          <w:rFonts w:eastAsia="Arial"/>
        </w:rPr>
        <w:t xml:space="preserve"> during </w:t>
      </w:r>
      <w:r w:rsidR="001C5EC9">
        <w:rPr>
          <w:rFonts w:eastAsia="Arial"/>
        </w:rPr>
        <w:t>2020-2021</w:t>
      </w:r>
      <w:r w:rsidR="00651A68" w:rsidRPr="00D60532">
        <w:rPr>
          <w:rFonts w:eastAsia="Arial"/>
        </w:rPr>
        <w:t xml:space="preserve">. </w:t>
      </w:r>
      <w:bookmarkEnd w:id="53"/>
      <w:r w:rsidR="00C53008">
        <w:rPr>
          <w:rFonts w:eastAsia="Arial"/>
        </w:rPr>
        <w:t xml:space="preserve">In 2021-2022 </w:t>
      </w:r>
      <w:r w:rsidR="008C307A">
        <w:rPr>
          <w:rFonts w:eastAsia="Arial"/>
        </w:rPr>
        <w:t xml:space="preserve">districts will be notified of their status for required </w:t>
      </w:r>
      <w:r w:rsidR="00C53008">
        <w:rPr>
          <w:rFonts w:eastAsia="Arial"/>
        </w:rPr>
        <w:t>Tier 3</w:t>
      </w:r>
      <w:r w:rsidR="00062E82">
        <w:rPr>
          <w:rFonts w:eastAsia="Arial"/>
        </w:rPr>
        <w:t xml:space="preserve"> intervention</w:t>
      </w:r>
      <w:r w:rsidR="008D420B">
        <w:rPr>
          <w:rFonts w:eastAsia="Arial"/>
        </w:rPr>
        <w:t xml:space="preserve"> in December 2021</w:t>
      </w:r>
      <w:r w:rsidR="00062E82">
        <w:rPr>
          <w:rFonts w:eastAsia="Arial"/>
        </w:rPr>
        <w:t xml:space="preserve">. </w:t>
      </w:r>
      <w:r w:rsidR="00F61A03">
        <w:rPr>
          <w:rFonts w:eastAsia="Arial"/>
        </w:rPr>
        <w:t xml:space="preserve">Each of the 16 regions in the state will have approximately 5 </w:t>
      </w:r>
      <w:r w:rsidR="009B46D6">
        <w:rPr>
          <w:rFonts w:eastAsia="Arial"/>
        </w:rPr>
        <w:t xml:space="preserve">traditional </w:t>
      </w:r>
      <w:r w:rsidR="00F61A03">
        <w:rPr>
          <w:rFonts w:eastAsia="Arial"/>
        </w:rPr>
        <w:t xml:space="preserve">districts and community schools identified. </w:t>
      </w:r>
      <w:r w:rsidR="00233445">
        <w:rPr>
          <w:rFonts w:eastAsia="Arial"/>
        </w:rPr>
        <w:t>The Department use</w:t>
      </w:r>
      <w:r w:rsidR="004E0B80">
        <w:rPr>
          <w:rFonts w:eastAsia="Arial"/>
        </w:rPr>
        <w:t>s</w:t>
      </w:r>
      <w:r w:rsidR="00233445">
        <w:rPr>
          <w:rFonts w:eastAsia="Arial"/>
        </w:rPr>
        <w:t xml:space="preserve"> a </w:t>
      </w:r>
      <w:r w:rsidR="00FA2527">
        <w:rPr>
          <w:rFonts w:eastAsia="Arial"/>
        </w:rPr>
        <w:t xml:space="preserve">multi-point rubric </w:t>
      </w:r>
      <w:r w:rsidR="00233445">
        <w:rPr>
          <w:rFonts w:eastAsia="Arial"/>
        </w:rPr>
        <w:t>t</w:t>
      </w:r>
      <w:r w:rsidR="00FA2527">
        <w:rPr>
          <w:rFonts w:eastAsia="Arial"/>
        </w:rPr>
        <w:t>o identify districts for tier</w:t>
      </w:r>
      <w:r w:rsidR="004E0B80">
        <w:rPr>
          <w:rFonts w:eastAsia="Arial"/>
        </w:rPr>
        <w:t>ed monitoring and support</w:t>
      </w:r>
      <w:r w:rsidR="00F61A03">
        <w:rPr>
          <w:rFonts w:eastAsia="Arial"/>
        </w:rPr>
        <w:t xml:space="preserve">. </w:t>
      </w:r>
      <w:r w:rsidR="00541352">
        <w:rPr>
          <w:rFonts w:eastAsia="Arial"/>
        </w:rPr>
        <w:t>The Department consider</w:t>
      </w:r>
      <w:r w:rsidR="00E573EC">
        <w:rPr>
          <w:rFonts w:eastAsia="Arial"/>
        </w:rPr>
        <w:t>s</w:t>
      </w:r>
      <w:r w:rsidR="00541352">
        <w:rPr>
          <w:rFonts w:eastAsia="Arial"/>
        </w:rPr>
        <w:t xml:space="preserve"> the following data in the rubric: </w:t>
      </w:r>
    </w:p>
    <w:p w14:paraId="4E96043F" w14:textId="27D91C35" w:rsidR="00C615E3" w:rsidRPr="007C01C3" w:rsidRDefault="003C31F0" w:rsidP="00C615E3">
      <w:pPr>
        <w:pStyle w:val="ListParagraph"/>
        <w:numPr>
          <w:ilvl w:val="0"/>
          <w:numId w:val="26"/>
        </w:numPr>
        <w:rPr>
          <w:rFonts w:eastAsia="Arial"/>
        </w:rPr>
      </w:pPr>
      <w:r>
        <w:rPr>
          <w:rFonts w:eastAsia="Arial"/>
        </w:rPr>
        <w:t>2020-2021</w:t>
      </w:r>
      <w:r w:rsidR="00C615E3" w:rsidRPr="007C01C3">
        <w:rPr>
          <w:rFonts w:eastAsia="Arial"/>
        </w:rPr>
        <w:t xml:space="preserve"> alternate assessment participation </w:t>
      </w:r>
      <w:r w:rsidR="000E5813" w:rsidRPr="007C01C3">
        <w:rPr>
          <w:rFonts w:eastAsia="Arial"/>
        </w:rPr>
        <w:t>rates.</w:t>
      </w:r>
      <w:r w:rsidR="00C615E3" w:rsidRPr="007C01C3">
        <w:rPr>
          <w:rFonts w:eastAsia="Arial"/>
        </w:rPr>
        <w:t xml:space="preserve"> </w:t>
      </w:r>
    </w:p>
    <w:p w14:paraId="6C2DBC53" w14:textId="4F1BEBEE" w:rsidR="00C615E3" w:rsidRPr="007C01C3" w:rsidRDefault="00C615E3" w:rsidP="00C615E3">
      <w:pPr>
        <w:pStyle w:val="ListParagraph"/>
        <w:numPr>
          <w:ilvl w:val="0"/>
          <w:numId w:val="26"/>
        </w:numPr>
        <w:rPr>
          <w:rFonts w:eastAsia="Arial"/>
        </w:rPr>
      </w:pPr>
      <w:r w:rsidRPr="007C01C3">
        <w:rPr>
          <w:rFonts w:eastAsia="Arial"/>
        </w:rPr>
        <w:t xml:space="preserve">Multi-year increase in participation </w:t>
      </w:r>
      <w:r w:rsidR="00405E52" w:rsidRPr="007C01C3">
        <w:rPr>
          <w:rFonts w:eastAsia="Arial"/>
        </w:rPr>
        <w:t>rate.</w:t>
      </w:r>
    </w:p>
    <w:p w14:paraId="319EBB62" w14:textId="5485A330" w:rsidR="00C615E3" w:rsidRPr="007C01C3" w:rsidRDefault="00C615E3" w:rsidP="00C615E3">
      <w:pPr>
        <w:pStyle w:val="ListParagraph"/>
        <w:numPr>
          <w:ilvl w:val="0"/>
          <w:numId w:val="26"/>
        </w:numPr>
        <w:rPr>
          <w:rFonts w:eastAsia="Arial"/>
        </w:rPr>
      </w:pPr>
      <w:r w:rsidRPr="007C01C3">
        <w:rPr>
          <w:rFonts w:eastAsia="Arial"/>
        </w:rPr>
        <w:t>A spike of more than 1</w:t>
      </w:r>
      <w:r w:rsidR="00D2402D">
        <w:rPr>
          <w:rFonts w:eastAsia="Arial"/>
        </w:rPr>
        <w:t>.0 percent</w:t>
      </w:r>
      <w:r w:rsidRPr="007C01C3">
        <w:rPr>
          <w:rFonts w:eastAsia="Arial"/>
        </w:rPr>
        <w:t xml:space="preserve"> participation in a single </w:t>
      </w:r>
      <w:r w:rsidR="00405E52" w:rsidRPr="007C01C3">
        <w:rPr>
          <w:rFonts w:eastAsia="Arial"/>
        </w:rPr>
        <w:t>year.</w:t>
      </w:r>
    </w:p>
    <w:p w14:paraId="31876290" w14:textId="1C88CFFA" w:rsidR="00C615E3" w:rsidRPr="007C01C3" w:rsidRDefault="00C615E3" w:rsidP="00C615E3">
      <w:pPr>
        <w:pStyle w:val="ListParagraph"/>
        <w:numPr>
          <w:ilvl w:val="0"/>
          <w:numId w:val="26"/>
        </w:numPr>
        <w:rPr>
          <w:rFonts w:eastAsia="Arial"/>
        </w:rPr>
      </w:pPr>
      <w:r w:rsidRPr="007C01C3">
        <w:rPr>
          <w:rFonts w:eastAsia="Arial"/>
        </w:rPr>
        <w:t xml:space="preserve">Failure to submit a justification when having exceeded </w:t>
      </w:r>
      <w:r w:rsidR="00405E52" w:rsidRPr="007C01C3">
        <w:rPr>
          <w:rFonts w:eastAsia="Arial"/>
        </w:rPr>
        <w:t>1</w:t>
      </w:r>
      <w:r w:rsidR="00A06E0A">
        <w:rPr>
          <w:rFonts w:eastAsia="Arial"/>
        </w:rPr>
        <w:t>.0 percent</w:t>
      </w:r>
      <w:r w:rsidR="00405E52">
        <w:rPr>
          <w:rFonts w:eastAsia="Arial"/>
        </w:rPr>
        <w:t>.</w:t>
      </w:r>
    </w:p>
    <w:p w14:paraId="31DCFE7D" w14:textId="0F8D20BA" w:rsidR="00C615E3" w:rsidRPr="007C01C3" w:rsidRDefault="00C615E3" w:rsidP="00C615E3">
      <w:pPr>
        <w:pStyle w:val="ListParagraph"/>
        <w:numPr>
          <w:ilvl w:val="0"/>
          <w:numId w:val="26"/>
        </w:numPr>
        <w:rPr>
          <w:rFonts w:eastAsia="Arial"/>
        </w:rPr>
      </w:pPr>
      <w:r w:rsidRPr="007C01C3">
        <w:rPr>
          <w:rFonts w:eastAsia="Arial"/>
        </w:rPr>
        <w:t>Failure to report alternate assessment data in the </w:t>
      </w:r>
      <w:r w:rsidRPr="007C01C3">
        <w:rPr>
          <w:rFonts w:eastAsia="Arial"/>
          <w:bCs/>
        </w:rPr>
        <w:t>Education Management Information System</w:t>
      </w:r>
      <w:r w:rsidRPr="007C01C3">
        <w:rPr>
          <w:rFonts w:eastAsia="Arial"/>
        </w:rPr>
        <w:t> (</w:t>
      </w:r>
      <w:r w:rsidRPr="007C01C3">
        <w:rPr>
          <w:rFonts w:eastAsia="Arial"/>
          <w:bCs/>
        </w:rPr>
        <w:t>EMIS</w:t>
      </w:r>
      <w:r w:rsidR="00405E52" w:rsidRPr="007C01C3">
        <w:rPr>
          <w:rFonts w:eastAsia="Arial"/>
        </w:rPr>
        <w:t>)</w:t>
      </w:r>
      <w:r w:rsidR="00D2402D">
        <w:rPr>
          <w:rFonts w:eastAsia="Arial"/>
        </w:rPr>
        <w:t>.</w:t>
      </w:r>
    </w:p>
    <w:p w14:paraId="061BC287" w14:textId="77777777" w:rsidR="00C615E3" w:rsidRPr="007C01C3" w:rsidRDefault="00C615E3" w:rsidP="00C615E3">
      <w:pPr>
        <w:pStyle w:val="ListParagraph"/>
        <w:numPr>
          <w:ilvl w:val="0"/>
          <w:numId w:val="26"/>
        </w:numPr>
        <w:rPr>
          <w:rFonts w:eastAsia="Arial"/>
        </w:rPr>
      </w:pPr>
      <w:r w:rsidRPr="007C01C3">
        <w:rPr>
          <w:rFonts w:eastAsia="Arial"/>
        </w:rPr>
        <w:t>Participation of disability types atypical to alternate assessment participation within the district; and</w:t>
      </w:r>
    </w:p>
    <w:p w14:paraId="72026299" w14:textId="49495ADB" w:rsidR="00C615E3" w:rsidRDefault="00C615E3" w:rsidP="00C615E3">
      <w:pPr>
        <w:pStyle w:val="ListParagraph"/>
        <w:numPr>
          <w:ilvl w:val="0"/>
          <w:numId w:val="26"/>
        </w:numPr>
      </w:pPr>
      <w:r w:rsidRPr="007C01C3">
        <w:rPr>
          <w:rFonts w:eastAsia="Arial"/>
        </w:rPr>
        <w:t xml:space="preserve">Information provided in the </w:t>
      </w:r>
      <w:r w:rsidR="00E573EC">
        <w:rPr>
          <w:rFonts w:eastAsia="Arial"/>
        </w:rPr>
        <w:t>district’s</w:t>
      </w:r>
      <w:r w:rsidRPr="007C01C3">
        <w:rPr>
          <w:rFonts w:eastAsia="Arial"/>
        </w:rPr>
        <w:t xml:space="preserve"> justification form and recommendations from the alternate assessment support staff in the state support teams. </w:t>
      </w:r>
    </w:p>
    <w:p w14:paraId="25DC2CE4" w14:textId="0F2526ED" w:rsidR="001F248D" w:rsidRDefault="001F248D" w:rsidP="001F248D">
      <w:pPr>
        <w:pStyle w:val="Heading3"/>
      </w:pPr>
      <w:bookmarkStart w:id="54" w:name="_Toc54954306"/>
      <w:r>
        <w:t xml:space="preserve">Evidence of </w:t>
      </w:r>
      <w:r w:rsidR="00DE34AD">
        <w:t>Progress: Tier 3</w:t>
      </w:r>
      <w:bookmarkEnd w:id="54"/>
    </w:p>
    <w:p w14:paraId="24D1B745" w14:textId="77777777" w:rsidR="0064058D" w:rsidRDefault="0064058D" w:rsidP="005822E4">
      <w:r>
        <w:t xml:space="preserve">Tier 3 </w:t>
      </w:r>
      <w:r w:rsidRPr="003D1412">
        <w:t xml:space="preserve">support is provided to </w:t>
      </w:r>
      <w:r>
        <w:t>districts and community schools</w:t>
      </w:r>
      <w:r w:rsidRPr="003D1412">
        <w:t xml:space="preserve"> that are identified as needing significant support. This tier includes continued </w:t>
      </w:r>
      <w:r w:rsidRPr="00120191">
        <w:t>Tier 1 and Tier 2</w:t>
      </w:r>
      <w:r w:rsidRPr="003D1412">
        <w:t xml:space="preserve"> support. </w:t>
      </w:r>
    </w:p>
    <w:p w14:paraId="6C47EC30" w14:textId="58EB4D26" w:rsidR="005F5B83" w:rsidRDefault="00FB5BEF" w:rsidP="005822E4">
      <w:r>
        <w:t>Intervention and monitoring</w:t>
      </w:r>
      <w:r w:rsidR="00D5113A">
        <w:t xml:space="preserve"> processes</w:t>
      </w:r>
      <w:r>
        <w:t xml:space="preserve"> </w:t>
      </w:r>
      <w:r w:rsidR="002405F6">
        <w:t xml:space="preserve">related to alternate assessment </w:t>
      </w:r>
      <w:r w:rsidR="0052683D">
        <w:t xml:space="preserve">improved </w:t>
      </w:r>
      <w:r>
        <w:t xml:space="preserve">greatly </w:t>
      </w:r>
      <w:r w:rsidR="00D5113A">
        <w:t xml:space="preserve">in </w:t>
      </w:r>
      <w:r w:rsidR="00885AE8">
        <w:t>2020-2021</w:t>
      </w:r>
      <w:r w:rsidR="00D5113A">
        <w:t xml:space="preserve"> due to the </w:t>
      </w:r>
      <w:r w:rsidR="00C25B8C">
        <w:t xml:space="preserve">use of the Special Education Profiles and Compliance Dashboard. These two tools allowed </w:t>
      </w:r>
      <w:r w:rsidR="00753812">
        <w:t>the Department</w:t>
      </w:r>
      <w:r w:rsidR="0010763F">
        <w:t xml:space="preserve"> and state support teams to </w:t>
      </w:r>
      <w:r w:rsidR="006969AF">
        <w:t>work together</w:t>
      </w:r>
      <w:r w:rsidR="00CB68A1">
        <w:t xml:space="preserve"> to assist</w:t>
      </w:r>
      <w:r w:rsidR="00F171D5">
        <w:t xml:space="preserve"> and monitor </w:t>
      </w:r>
      <w:r w:rsidR="00502876">
        <w:t xml:space="preserve">improvement efforts in Tier 3 districts and community schools. </w:t>
      </w:r>
      <w:r w:rsidR="00C67E98">
        <w:t>T</w:t>
      </w:r>
      <w:r w:rsidR="00922F1C">
        <w:t xml:space="preserve">he Special Education Profiles </w:t>
      </w:r>
      <w:r w:rsidR="00F171D5">
        <w:t>informed</w:t>
      </w:r>
      <w:r w:rsidR="00922F1C">
        <w:t xml:space="preserve"> districts and community schools of their Tier 3 status</w:t>
      </w:r>
      <w:r w:rsidR="00B37FDC">
        <w:t xml:space="preserve"> and the required action step</w:t>
      </w:r>
      <w:r w:rsidR="008516EE">
        <w:t>s. The Compliance Dashboard is a</w:t>
      </w:r>
      <w:r w:rsidR="00B37FDC">
        <w:t>n interactive system that allows districts to</w:t>
      </w:r>
      <w:r w:rsidR="00314955">
        <w:t xml:space="preserve"> read and respond to comments from the Department</w:t>
      </w:r>
      <w:r w:rsidR="003B14F5">
        <w:t xml:space="preserve">, submit self-reviews and </w:t>
      </w:r>
      <w:r w:rsidR="008516EE">
        <w:t>improvement</w:t>
      </w:r>
      <w:r w:rsidR="003B14F5">
        <w:t xml:space="preserve"> plans</w:t>
      </w:r>
      <w:r w:rsidR="002A427C">
        <w:t xml:space="preserve"> and </w:t>
      </w:r>
      <w:r w:rsidR="00B37FDC">
        <w:t>upload document</w:t>
      </w:r>
      <w:r w:rsidR="002A427C">
        <w:t xml:space="preserve">ation of </w:t>
      </w:r>
      <w:r w:rsidR="003B14F5">
        <w:t xml:space="preserve">completed </w:t>
      </w:r>
      <w:r w:rsidR="002A427C">
        <w:t>action steps</w:t>
      </w:r>
      <w:r w:rsidR="0055776E">
        <w:t xml:space="preserve">. Specialists in the Department’s </w:t>
      </w:r>
      <w:r w:rsidR="009A0189">
        <w:t>Office for Exceptional Children</w:t>
      </w:r>
      <w:r w:rsidR="0055776E">
        <w:t xml:space="preserve"> review and monitor the documentation. State support teams </w:t>
      </w:r>
      <w:r w:rsidR="00B20889">
        <w:t xml:space="preserve">assisted district teams with </w:t>
      </w:r>
      <w:r w:rsidR="00E32971">
        <w:t xml:space="preserve">analyzing data </w:t>
      </w:r>
      <w:r w:rsidR="00FF6D36">
        <w:t>using the Self-Review Summary Report,</w:t>
      </w:r>
      <w:r w:rsidR="00E32971">
        <w:t xml:space="preserve"> </w:t>
      </w:r>
      <w:r w:rsidR="00840191">
        <w:t xml:space="preserve">developing and submitting improvement plans, and </w:t>
      </w:r>
      <w:r w:rsidR="00C96B87">
        <w:t xml:space="preserve">implementing planned </w:t>
      </w:r>
      <w:r w:rsidR="00840191">
        <w:t xml:space="preserve">action steps. </w:t>
      </w:r>
      <w:r w:rsidR="00F034EA">
        <w:t xml:space="preserve"> </w:t>
      </w:r>
    </w:p>
    <w:p w14:paraId="613AE0D9" w14:textId="422854F7" w:rsidR="00155393" w:rsidRDefault="00155393" w:rsidP="00C65283">
      <w:r>
        <w:t xml:space="preserve">The Alternate Assessment Workgroup created a </w:t>
      </w:r>
      <w:r w:rsidR="00405E52">
        <w:t xml:space="preserve">shared </w:t>
      </w:r>
      <w:r>
        <w:t xml:space="preserve">site to share alternate assessment professional learning resources with state support team staff. The State Support Team Alternate Assessment Participation Professional Development Toolkit currently includes presentations, group learning activities, sample forms, parent communication examples from the Office for Exceptional Children and </w:t>
      </w:r>
      <w:r w:rsidR="00B90A3D">
        <w:t>OCALI</w:t>
      </w:r>
      <w:r>
        <w:t xml:space="preserve">. This content focuses on </w:t>
      </w:r>
      <w:r w:rsidR="00F02D71">
        <w:t xml:space="preserve">the </w:t>
      </w:r>
      <w:r w:rsidR="00B90A3D">
        <w:t xml:space="preserve">five </w:t>
      </w:r>
      <w:r w:rsidR="006C08BF">
        <w:t xml:space="preserve">areas of the </w:t>
      </w:r>
      <w:r w:rsidR="00304859">
        <w:t>s</w:t>
      </w:r>
      <w:r w:rsidR="006C08BF">
        <w:t xml:space="preserve">elf-review </w:t>
      </w:r>
      <w:r w:rsidR="00304859">
        <w:t>s</w:t>
      </w:r>
      <w:r w:rsidR="006C08BF">
        <w:t xml:space="preserve">ummary </w:t>
      </w:r>
      <w:r w:rsidR="00304859">
        <w:t>r</w:t>
      </w:r>
      <w:r w:rsidR="006C08BF">
        <w:t xml:space="preserve">eport that all Tier 3 districts must complete with their regional </w:t>
      </w:r>
      <w:r w:rsidR="00304859">
        <w:t>s</w:t>
      </w:r>
      <w:r w:rsidR="006C08BF">
        <w:t xml:space="preserve">tate </w:t>
      </w:r>
      <w:r w:rsidR="00304859">
        <w:t>s</w:t>
      </w:r>
      <w:r w:rsidR="006C08BF">
        <w:t xml:space="preserve">upport </w:t>
      </w:r>
      <w:r w:rsidR="00304859">
        <w:t>t</w:t>
      </w:r>
      <w:r w:rsidR="006C08BF">
        <w:t xml:space="preserve">eam before </w:t>
      </w:r>
      <w:r w:rsidR="00C30F0A">
        <w:t>developing</w:t>
      </w:r>
      <w:r w:rsidR="006C08BF">
        <w:t xml:space="preserve"> an improvement plan</w:t>
      </w:r>
      <w:r>
        <w:t xml:space="preserve">. </w:t>
      </w:r>
      <w:r w:rsidR="00AA4B01">
        <w:t xml:space="preserve">The </w:t>
      </w:r>
      <w:r w:rsidR="003B394E">
        <w:t xml:space="preserve">Office of Assessment, Office for Exceptional Children and </w:t>
      </w:r>
      <w:r w:rsidR="00B90A3D">
        <w:t>OCALI</w:t>
      </w:r>
      <w:r w:rsidR="003B394E">
        <w:t xml:space="preserve"> collaborated </w:t>
      </w:r>
      <w:r w:rsidR="00DA3645">
        <w:t>with</w:t>
      </w:r>
      <w:r w:rsidR="00AA4B01">
        <w:t xml:space="preserve"> state support team alternate assessment trainers </w:t>
      </w:r>
      <w:r w:rsidR="00DA3645">
        <w:t>to meet weekly between Nov. 15</w:t>
      </w:r>
      <w:r w:rsidR="00A523DE">
        <w:t>, 2020</w:t>
      </w:r>
      <w:r w:rsidR="007D2058">
        <w:t>,</w:t>
      </w:r>
      <w:r w:rsidR="00DA3645">
        <w:t xml:space="preserve"> and Feb</w:t>
      </w:r>
      <w:r w:rsidR="00D8544D">
        <w:t>. 5</w:t>
      </w:r>
      <w:r w:rsidR="00A523DE">
        <w:t>, 2021</w:t>
      </w:r>
      <w:r w:rsidR="007D2058">
        <w:t>,</w:t>
      </w:r>
      <w:r w:rsidR="00D8544D">
        <w:t xml:space="preserve"> to discuss implementation of the Alternate Assessment Participation </w:t>
      </w:r>
      <w:r w:rsidR="00A523DE">
        <w:t xml:space="preserve">Decision-Making Tool and test administrator training. </w:t>
      </w:r>
    </w:p>
    <w:p w14:paraId="640FBC95" w14:textId="493CF2DF" w:rsidR="00E74801" w:rsidRPr="00E74801" w:rsidRDefault="00193750" w:rsidP="00AB1647">
      <w:r>
        <w:t xml:space="preserve">The Teaching Diverse Learners Center at OCALI </w:t>
      </w:r>
      <w:r w:rsidR="006F4FF1">
        <w:t>launched a new webpage</w:t>
      </w:r>
      <w:r>
        <w:t xml:space="preserve"> on </w:t>
      </w:r>
      <w:hyperlink r:id="rId27" w:history="1">
        <w:r w:rsidR="00BC60F2" w:rsidRPr="002B185C">
          <w:rPr>
            <w:rStyle w:val="Hyperlink"/>
          </w:rPr>
          <w:t>Literacy Access for All</w:t>
        </w:r>
      </w:hyperlink>
      <w:r>
        <w:t>.</w:t>
      </w:r>
      <w:r w:rsidR="00BD27AB">
        <w:t xml:space="preserve"> </w:t>
      </w:r>
      <w:r>
        <w:t>Th</w:t>
      </w:r>
      <w:r w:rsidR="00575A7F">
        <w:t>is</w:t>
      </w:r>
      <w:r>
        <w:t xml:space="preserve"> free, video-based learning series </w:t>
      </w:r>
      <w:r w:rsidR="00E74801" w:rsidRPr="00E74801">
        <w:t xml:space="preserve">provides educators and other specialists with the strategies, research and </w:t>
      </w:r>
      <w:r w:rsidR="00E74801" w:rsidRPr="00E74801">
        <w:lastRenderedPageBreak/>
        <w:t xml:space="preserve">support resources to effectively design instruction and assessment in a way that provides universal access across courses, lessons and learning activities. </w:t>
      </w:r>
    </w:p>
    <w:p w14:paraId="1EAA9F28" w14:textId="4C89C6FB" w:rsidR="00D96CE2" w:rsidRDefault="00E74801" w:rsidP="00AB1647">
      <w:r w:rsidRPr="00E74801">
        <w:t>Organized in 10 chapters, Ensuring Access to the General Curriculum for All Learners was created for educators</w:t>
      </w:r>
      <w:r w:rsidR="00255ECD">
        <w:t xml:space="preserve"> and</w:t>
      </w:r>
      <w:r w:rsidRPr="00E74801">
        <w:t xml:space="preserve"> by educators and is grounded in research and evidence-based practices. The series explores practical, easy-to-use strategies and resources designed to ensure </w:t>
      </w:r>
      <w:r w:rsidR="00255ECD">
        <w:t>all</w:t>
      </w:r>
      <w:r w:rsidR="00255ECD" w:rsidRPr="00E74801">
        <w:t xml:space="preserve"> </w:t>
      </w:r>
      <w:r w:rsidRPr="00E74801">
        <w:t xml:space="preserve">learners have access to the general curriculum. </w:t>
      </w:r>
      <w:r w:rsidR="00D46775">
        <w:t xml:space="preserve">The series </w:t>
      </w:r>
      <w:r w:rsidR="00D35BFC">
        <w:t>covers the following areas:</w:t>
      </w:r>
    </w:p>
    <w:p w14:paraId="67E77840" w14:textId="77777777" w:rsidR="005A7D40" w:rsidRDefault="00D96CE2" w:rsidP="003A32D8">
      <w:pPr>
        <w:spacing w:line="240" w:lineRule="auto"/>
        <w:ind w:left="720"/>
      </w:pPr>
      <w:r>
        <w:t>Chapter 1: Ensuring Inclusive Dispositions and Presuming Competence</w:t>
      </w:r>
    </w:p>
    <w:p w14:paraId="2D0BE749" w14:textId="77777777" w:rsidR="005A7D40" w:rsidRDefault="00D96CE2" w:rsidP="003A32D8">
      <w:pPr>
        <w:spacing w:line="240" w:lineRule="auto"/>
        <w:ind w:left="720"/>
      </w:pPr>
      <w:r>
        <w:t>Chapter 2: Design Rich Tier I Core Instruction and Assessment</w:t>
      </w:r>
    </w:p>
    <w:p w14:paraId="17C7FC32" w14:textId="77777777" w:rsidR="005A7D40" w:rsidRDefault="00D96CE2" w:rsidP="003A32D8">
      <w:pPr>
        <w:spacing w:line="240" w:lineRule="auto"/>
        <w:ind w:left="720"/>
      </w:pPr>
      <w:r>
        <w:t>Chapter 3: Designing Inclusive Learning Environments and Rich Tier I Instruction and Assessment</w:t>
      </w:r>
    </w:p>
    <w:p w14:paraId="4466BDCE" w14:textId="77777777" w:rsidR="005A7D40" w:rsidRDefault="00D96CE2" w:rsidP="003A32D8">
      <w:pPr>
        <w:spacing w:line="240" w:lineRule="auto"/>
        <w:ind w:left="720"/>
      </w:pPr>
      <w:r>
        <w:t>Chapter 4: Language and Communication Access: ALL In!</w:t>
      </w:r>
    </w:p>
    <w:p w14:paraId="6BA0E4C2" w14:textId="77777777" w:rsidR="005A7D40" w:rsidRDefault="00D96CE2" w:rsidP="003A32D8">
      <w:pPr>
        <w:spacing w:line="240" w:lineRule="auto"/>
        <w:ind w:left="720"/>
      </w:pPr>
      <w:r>
        <w:t>Chapter 5: Reading Research in Language and Literacy: From Research to Practice</w:t>
      </w:r>
    </w:p>
    <w:p w14:paraId="0DCEB2AB" w14:textId="77777777" w:rsidR="005A7D40" w:rsidRDefault="00D96CE2" w:rsidP="003A32D8">
      <w:pPr>
        <w:spacing w:line="240" w:lineRule="auto"/>
        <w:ind w:left="720"/>
      </w:pPr>
      <w:r>
        <w:t>Chapter 6: Stretching Word Recognition to Include Learners with Complex Needs: Access to Communication, Reading, and Writing for ALL Learners</w:t>
      </w:r>
    </w:p>
    <w:p w14:paraId="269ACA74" w14:textId="77777777" w:rsidR="005A7D40" w:rsidRDefault="00D96CE2" w:rsidP="003A32D8">
      <w:pPr>
        <w:spacing w:line="240" w:lineRule="auto"/>
        <w:ind w:left="720"/>
      </w:pPr>
      <w:r>
        <w:t>Chapter 7: Stretching Language Comprehension to Include Learners with Complex Needs: Applying Reading and Writing Across Content Areas</w:t>
      </w:r>
    </w:p>
    <w:p w14:paraId="1B44A1DC" w14:textId="0E8161D3" w:rsidR="005A7D40" w:rsidRDefault="00D96CE2" w:rsidP="003A32D8">
      <w:pPr>
        <w:spacing w:line="240" w:lineRule="auto"/>
        <w:ind w:left="720"/>
      </w:pPr>
      <w:r>
        <w:t xml:space="preserve">Chapter 8: Tier </w:t>
      </w:r>
      <w:r w:rsidR="00040032">
        <w:t>1</w:t>
      </w:r>
      <w:r>
        <w:t xml:space="preserve"> Planning Continued: Integrating Learner Supports within Standards-Based Instruction and Assessment</w:t>
      </w:r>
    </w:p>
    <w:p w14:paraId="75BFF840" w14:textId="77777777" w:rsidR="005A7D40" w:rsidRDefault="00D96CE2" w:rsidP="003A32D8">
      <w:pPr>
        <w:spacing w:line="240" w:lineRule="auto"/>
        <w:ind w:left="720"/>
      </w:pPr>
      <w:r>
        <w:t>Chapter 9: Targeted Interventions: Tiers 2 and 3</w:t>
      </w:r>
    </w:p>
    <w:p w14:paraId="005B603D" w14:textId="5CA36E16" w:rsidR="005A7D40" w:rsidRDefault="00D96CE2" w:rsidP="003A32D8">
      <w:pPr>
        <w:spacing w:line="240" w:lineRule="auto"/>
        <w:ind w:left="720"/>
      </w:pPr>
      <w:r>
        <w:t>Chapter 10: Curriculum Screening, Audit, Selection, and Deselection</w:t>
      </w:r>
    </w:p>
    <w:p w14:paraId="51A34E13" w14:textId="7D06F63A" w:rsidR="00575A7F" w:rsidRPr="00F665EA" w:rsidRDefault="00E93511" w:rsidP="00C65283">
      <w:r>
        <w:t>The</w:t>
      </w:r>
      <w:r w:rsidR="00E52379">
        <w:t xml:space="preserve"> Department provided</w:t>
      </w:r>
      <w:r w:rsidR="00C65283">
        <w:t xml:space="preserve"> technical assistance and resources</w:t>
      </w:r>
      <w:r w:rsidR="00914BC5">
        <w:t xml:space="preserve"> to Tier 3 districts and community schools</w:t>
      </w:r>
      <w:r w:rsidR="00C65283">
        <w:t xml:space="preserve"> as outlined in the </w:t>
      </w:r>
      <w:r w:rsidR="00A77A44">
        <w:t>2019-2020</w:t>
      </w:r>
      <w:r w:rsidR="00C65283">
        <w:t xml:space="preserve"> waiver</w:t>
      </w:r>
      <w:r w:rsidR="00914BC5">
        <w:t xml:space="preserve"> extension request</w:t>
      </w:r>
      <w:r w:rsidR="00C65283">
        <w:t xml:space="preserve">. Evidence of implementation for each action step is listed in </w:t>
      </w:r>
      <w:r w:rsidR="0001048E">
        <w:t>Table 5</w:t>
      </w:r>
      <w:r w:rsidR="00C65283">
        <w:t xml:space="preserve"> below. Some of the sample documents referenced are available via web-based links or are available in the </w:t>
      </w:r>
      <w:r w:rsidR="00CD522C">
        <w:t xml:space="preserve">appendices </w:t>
      </w:r>
      <w:r w:rsidR="00C65283">
        <w:t>(marked with an asterisk)</w:t>
      </w:r>
      <w:r w:rsidR="00C941CA">
        <w:t>.</w:t>
      </w:r>
      <w:r w:rsidR="00C65283">
        <w:t xml:space="preserve"> </w:t>
      </w:r>
    </w:p>
    <w:p w14:paraId="008AB6AB" w14:textId="77777777" w:rsidR="00F665EA" w:rsidRDefault="00F665EA">
      <w:pPr>
        <w:spacing w:line="259" w:lineRule="auto"/>
        <w:rPr>
          <w:b/>
        </w:rPr>
      </w:pPr>
      <w:r>
        <w:rPr>
          <w:b/>
        </w:rPr>
        <w:br w:type="page"/>
      </w:r>
    </w:p>
    <w:p w14:paraId="65B6EF75" w14:textId="0F21035D" w:rsidR="00C65283" w:rsidRPr="00852F0C" w:rsidRDefault="00C65283" w:rsidP="00C65283">
      <w:pPr>
        <w:rPr>
          <w:b/>
        </w:rPr>
      </w:pPr>
      <w:r w:rsidRPr="00DE6A17">
        <w:rPr>
          <w:b/>
        </w:rPr>
        <w:lastRenderedPageBreak/>
        <w:t>T</w:t>
      </w:r>
      <w:r w:rsidR="00990B29">
        <w:rPr>
          <w:b/>
        </w:rPr>
        <w:t>able</w:t>
      </w:r>
      <w:r w:rsidRPr="00DE6A17">
        <w:rPr>
          <w:b/>
        </w:rPr>
        <w:t xml:space="preserve"> </w:t>
      </w:r>
      <w:r w:rsidR="002F3439">
        <w:rPr>
          <w:b/>
        </w:rPr>
        <w:t>5</w:t>
      </w:r>
      <w:r w:rsidRPr="00DE6A17">
        <w:rPr>
          <w:b/>
        </w:rPr>
        <w:t xml:space="preserve">: Evidence of Tier </w:t>
      </w:r>
      <w:r>
        <w:rPr>
          <w:b/>
        </w:rPr>
        <w:t>3</w:t>
      </w:r>
      <w:r w:rsidRPr="00DE6A17">
        <w:rPr>
          <w:b/>
        </w:rPr>
        <w:t xml:space="preserve"> Progress </w:t>
      </w:r>
      <w:r w:rsidR="00A77A44">
        <w:rPr>
          <w:b/>
        </w:rPr>
        <w:t>2020-2021</w:t>
      </w:r>
    </w:p>
    <w:tbl>
      <w:tblPr>
        <w:tblW w:w="5002" w:type="pct"/>
        <w:tblLayout w:type="fixed"/>
        <w:tblCellMar>
          <w:left w:w="115" w:type="dxa"/>
          <w:right w:w="115" w:type="dxa"/>
        </w:tblCellMar>
        <w:tblLook w:val="04A0" w:firstRow="1" w:lastRow="0" w:firstColumn="1" w:lastColumn="0" w:noHBand="0" w:noVBand="1"/>
        <w:tblCaption w:val="Evidence of Tier 3 Progress 2020-2021"/>
        <w:tblDescription w:val="This table includes planned action steps and evidence of implementation of these steps."/>
      </w:tblPr>
      <w:tblGrid>
        <w:gridCol w:w="5304"/>
        <w:gridCol w:w="5490"/>
      </w:tblGrid>
      <w:tr w:rsidR="00C65283" w:rsidRPr="00F322A0" w14:paraId="26F40AF5" w14:textId="77777777" w:rsidTr="004F1C13">
        <w:trPr>
          <w:trHeight w:val="436"/>
          <w:tblHeader/>
        </w:trPr>
        <w:tc>
          <w:tcPr>
            <w:tcW w:w="2457" w:type="pct"/>
            <w:tcBorders>
              <w:top w:val="single" w:sz="4" w:space="0" w:color="auto"/>
              <w:left w:val="single" w:sz="4" w:space="0" w:color="auto"/>
              <w:bottom w:val="single" w:sz="4" w:space="0" w:color="auto"/>
              <w:right w:val="single" w:sz="4" w:space="0" w:color="auto"/>
            </w:tcBorders>
            <w:shd w:val="clear" w:color="auto" w:fill="FF9999"/>
            <w:vAlign w:val="center"/>
            <w:hideMark/>
          </w:tcPr>
          <w:p w14:paraId="366B408D" w14:textId="77777777" w:rsidR="00C65283" w:rsidRPr="00E154C2" w:rsidRDefault="00C65283" w:rsidP="00D9139F">
            <w:pPr>
              <w:spacing w:after="0"/>
              <w:jc w:val="center"/>
              <w:rPr>
                <w:b/>
              </w:rPr>
            </w:pPr>
            <w:bookmarkStart w:id="55" w:name="Evidence_Tier_3_Progress"/>
            <w:r w:rsidRPr="00E154C2">
              <w:rPr>
                <w:b/>
              </w:rPr>
              <w:t>Planned Action Steps</w:t>
            </w:r>
          </w:p>
        </w:tc>
        <w:tc>
          <w:tcPr>
            <w:tcW w:w="2543" w:type="pct"/>
            <w:tcBorders>
              <w:top w:val="single" w:sz="4" w:space="0" w:color="auto"/>
              <w:left w:val="nil"/>
              <w:bottom w:val="single" w:sz="4" w:space="0" w:color="auto"/>
              <w:right w:val="single" w:sz="4" w:space="0" w:color="auto"/>
            </w:tcBorders>
            <w:shd w:val="clear" w:color="auto" w:fill="FF9999"/>
            <w:vAlign w:val="center"/>
            <w:hideMark/>
          </w:tcPr>
          <w:p w14:paraId="4B9825EE" w14:textId="092DB96B" w:rsidR="00C65283" w:rsidRPr="00E154C2" w:rsidRDefault="00C65283" w:rsidP="00D9139F">
            <w:pPr>
              <w:spacing w:after="0"/>
              <w:jc w:val="center"/>
              <w:rPr>
                <w:b/>
              </w:rPr>
            </w:pPr>
            <w:r>
              <w:rPr>
                <w:b/>
              </w:rPr>
              <w:t xml:space="preserve">Evidence of </w:t>
            </w:r>
            <w:r w:rsidRPr="00E154C2">
              <w:rPr>
                <w:b/>
              </w:rPr>
              <w:t xml:space="preserve">Implementation </w:t>
            </w:r>
            <w:r w:rsidR="00A77A44" w:rsidRPr="005911F6">
              <w:rPr>
                <w:b/>
              </w:rPr>
              <w:t>2020-2021</w:t>
            </w:r>
          </w:p>
        </w:tc>
      </w:tr>
      <w:tr w:rsidR="00C65283" w:rsidRPr="00F322A0" w14:paraId="70E1F34F" w14:textId="77777777" w:rsidTr="004F1C13">
        <w:trPr>
          <w:trHeight w:val="2623"/>
          <w:tblHeader/>
        </w:trPr>
        <w:tc>
          <w:tcPr>
            <w:tcW w:w="2457" w:type="pct"/>
            <w:tcBorders>
              <w:top w:val="nil"/>
              <w:left w:val="single" w:sz="4" w:space="0" w:color="auto"/>
              <w:bottom w:val="single" w:sz="4" w:space="0" w:color="auto"/>
              <w:right w:val="single" w:sz="4" w:space="0" w:color="auto"/>
            </w:tcBorders>
            <w:shd w:val="clear" w:color="auto" w:fill="auto"/>
            <w:vAlign w:val="center"/>
            <w:hideMark/>
          </w:tcPr>
          <w:p w14:paraId="7B551744" w14:textId="33092CF5" w:rsidR="00C65283" w:rsidRPr="00F322A0" w:rsidRDefault="00C65283" w:rsidP="00040032">
            <w:pPr>
              <w:pStyle w:val="ListParagraph"/>
              <w:numPr>
                <w:ilvl w:val="0"/>
                <w:numId w:val="11"/>
              </w:numPr>
              <w:ind w:left="420"/>
            </w:pPr>
            <w:r>
              <w:t>Districts and community schools</w:t>
            </w:r>
            <w:r w:rsidRPr="003D1412">
              <w:t xml:space="preserve"> will, with the assistance of the Department and </w:t>
            </w:r>
            <w:r w:rsidR="00914BC5">
              <w:t>state support team</w:t>
            </w:r>
            <w:r w:rsidRPr="003D1412">
              <w:t xml:space="preserve"> </w:t>
            </w:r>
            <w:r w:rsidR="003E011C">
              <w:t>consultants</w:t>
            </w:r>
            <w:r w:rsidRPr="003D1412">
              <w:t>,</w:t>
            </w:r>
            <w:r>
              <w:t xml:space="preserve"> construct </w:t>
            </w:r>
            <w:r w:rsidRPr="003D1412">
              <w:t>goal</w:t>
            </w:r>
            <w:r>
              <w:t>s</w:t>
            </w:r>
            <w:r w:rsidRPr="003D1412">
              <w:t xml:space="preserve"> to be included in </w:t>
            </w:r>
            <w:r w:rsidR="00914BC5">
              <w:t>i</w:t>
            </w:r>
            <w:r w:rsidRPr="003D1412">
              <w:t xml:space="preserve">mprovement </w:t>
            </w:r>
            <w:r w:rsidR="00914BC5">
              <w:t>p</w:t>
            </w:r>
            <w:r w:rsidRPr="003D1412">
              <w:t xml:space="preserve">lans for appropriately identifying students for participation in the alternate assessment. </w:t>
            </w:r>
            <w:r w:rsidR="00914BC5">
              <w:t>Improvement p</w:t>
            </w:r>
            <w:r w:rsidRPr="003D1412">
              <w:t xml:space="preserve">lans </w:t>
            </w:r>
            <w:r w:rsidR="00914BC5">
              <w:t>should</w:t>
            </w:r>
            <w:r w:rsidRPr="003D1412">
              <w:t xml:space="preserve"> include </w:t>
            </w:r>
            <w:r>
              <w:t xml:space="preserve">measurable </w:t>
            </w:r>
            <w:r w:rsidRPr="003D1412">
              <w:t>outcomes</w:t>
            </w:r>
            <w:r>
              <w:t xml:space="preserve">, </w:t>
            </w:r>
            <w:r w:rsidRPr="003D1412">
              <w:t>timeline</w:t>
            </w:r>
            <w:r>
              <w:t>s</w:t>
            </w:r>
            <w:r w:rsidRPr="003D1412">
              <w:t>, framework</w:t>
            </w:r>
            <w:r>
              <w:t>s</w:t>
            </w:r>
            <w:r w:rsidRPr="003D1412">
              <w:t xml:space="preserve"> for technical assistance, updated procedures and training opportunities.</w:t>
            </w:r>
          </w:p>
        </w:tc>
        <w:tc>
          <w:tcPr>
            <w:tcW w:w="2543" w:type="pct"/>
            <w:tcBorders>
              <w:top w:val="nil"/>
              <w:left w:val="nil"/>
              <w:bottom w:val="single" w:sz="4" w:space="0" w:color="auto"/>
              <w:right w:val="single" w:sz="4" w:space="0" w:color="auto"/>
            </w:tcBorders>
            <w:shd w:val="clear" w:color="auto" w:fill="auto"/>
            <w:vAlign w:val="center"/>
            <w:hideMark/>
          </w:tcPr>
          <w:p w14:paraId="3432B8DB" w14:textId="77777777" w:rsidR="00C65283" w:rsidRPr="00F322A0" w:rsidRDefault="00C65283" w:rsidP="00426221">
            <w:pPr>
              <w:pStyle w:val="ListParagraph"/>
              <w:numPr>
                <w:ilvl w:val="0"/>
                <w:numId w:val="7"/>
              </w:numPr>
              <w:ind w:left="339"/>
            </w:pPr>
            <w:r>
              <w:t xml:space="preserve">Office for Exceptional Children </w:t>
            </w:r>
            <w:r w:rsidRPr="00F322A0">
              <w:t xml:space="preserve">Comprehensive </w:t>
            </w:r>
            <w:r>
              <w:t>M</w:t>
            </w:r>
            <w:r w:rsidRPr="00F322A0">
              <w:t xml:space="preserve">onitoring </w:t>
            </w:r>
            <w:r>
              <w:t>P</w:t>
            </w:r>
            <w:r w:rsidRPr="00F322A0">
              <w:t>rocess</w:t>
            </w:r>
            <w:r>
              <w:t>*</w:t>
            </w:r>
          </w:p>
          <w:p w14:paraId="18EA6EF2" w14:textId="35E1FCD5" w:rsidR="00C65283" w:rsidRPr="00F322A0" w:rsidRDefault="00C65283" w:rsidP="00426221">
            <w:pPr>
              <w:pStyle w:val="ListParagraph"/>
              <w:numPr>
                <w:ilvl w:val="0"/>
                <w:numId w:val="7"/>
              </w:numPr>
              <w:ind w:left="339"/>
            </w:pPr>
            <w:r w:rsidRPr="00F322A0">
              <w:t>District Self-Review Summary Report</w:t>
            </w:r>
            <w:r>
              <w:t>*</w:t>
            </w:r>
          </w:p>
          <w:p w14:paraId="1A19F53D" w14:textId="5E10E3F8" w:rsidR="00C65283" w:rsidRPr="00F322A0" w:rsidRDefault="00C65283" w:rsidP="00426221">
            <w:pPr>
              <w:pStyle w:val="ListParagraph"/>
              <w:numPr>
                <w:ilvl w:val="0"/>
                <w:numId w:val="7"/>
              </w:numPr>
              <w:ind w:left="339"/>
            </w:pPr>
            <w:r>
              <w:t>District Improvement Plan</w:t>
            </w:r>
            <w:r w:rsidR="00914BC5">
              <w:t xml:space="preserve"> </w:t>
            </w:r>
            <w:r w:rsidR="4CF1FF86">
              <w:t>T</w:t>
            </w:r>
            <w:r w:rsidR="00914BC5">
              <w:t>emplate*</w:t>
            </w:r>
          </w:p>
        </w:tc>
      </w:tr>
      <w:tr w:rsidR="00C65283" w:rsidRPr="00F322A0" w14:paraId="1020E302" w14:textId="77777777" w:rsidTr="004F1C13">
        <w:trPr>
          <w:trHeight w:val="1147"/>
          <w:tblHeader/>
        </w:trPr>
        <w:tc>
          <w:tcPr>
            <w:tcW w:w="2457" w:type="pct"/>
            <w:tcBorders>
              <w:top w:val="nil"/>
              <w:left w:val="single" w:sz="4" w:space="0" w:color="auto"/>
              <w:bottom w:val="single" w:sz="4" w:space="0" w:color="auto"/>
              <w:right w:val="single" w:sz="4" w:space="0" w:color="auto"/>
            </w:tcBorders>
            <w:shd w:val="clear" w:color="auto" w:fill="auto"/>
            <w:vAlign w:val="center"/>
            <w:hideMark/>
          </w:tcPr>
          <w:p w14:paraId="274008D9" w14:textId="7F466669" w:rsidR="00C65283" w:rsidRPr="00F322A0" w:rsidRDefault="00C65283" w:rsidP="00040032">
            <w:pPr>
              <w:pStyle w:val="ListParagraph"/>
              <w:numPr>
                <w:ilvl w:val="0"/>
                <w:numId w:val="11"/>
              </w:numPr>
              <w:ind w:left="420"/>
            </w:pPr>
            <w:r w:rsidRPr="003D1412">
              <w:t xml:space="preserve">The Department will review records (e.g., Evaluation Team Reports, Individualized Education </w:t>
            </w:r>
            <w:r w:rsidR="006824BF">
              <w:t>Programs</w:t>
            </w:r>
            <w:r w:rsidRPr="003D1412">
              <w:t xml:space="preserve">) and evaluate current determination processes, policies and procedures used to qualify students for participation in the </w:t>
            </w:r>
            <w:r w:rsidR="00914BC5">
              <w:t>alternate assessment</w:t>
            </w:r>
            <w:r w:rsidRPr="003D1412">
              <w:t>.</w:t>
            </w:r>
          </w:p>
        </w:tc>
        <w:tc>
          <w:tcPr>
            <w:tcW w:w="2543" w:type="pct"/>
            <w:tcBorders>
              <w:top w:val="nil"/>
              <w:left w:val="nil"/>
              <w:bottom w:val="single" w:sz="4" w:space="0" w:color="auto"/>
              <w:right w:val="single" w:sz="4" w:space="0" w:color="auto"/>
            </w:tcBorders>
            <w:shd w:val="clear" w:color="auto" w:fill="auto"/>
            <w:vAlign w:val="center"/>
            <w:hideMark/>
          </w:tcPr>
          <w:p w14:paraId="68F813EA" w14:textId="3E00D4FC" w:rsidR="00C65283" w:rsidRPr="00F322A0" w:rsidRDefault="00C65283" w:rsidP="00040032">
            <w:pPr>
              <w:pStyle w:val="ListParagraph"/>
              <w:numPr>
                <w:ilvl w:val="0"/>
                <w:numId w:val="7"/>
              </w:numPr>
              <w:ind w:left="339"/>
            </w:pPr>
            <w:r>
              <w:t xml:space="preserve">Office for Exceptional Children </w:t>
            </w:r>
            <w:r w:rsidRPr="00F322A0">
              <w:t xml:space="preserve">Comprehensive </w:t>
            </w:r>
            <w:r>
              <w:t>M</w:t>
            </w:r>
            <w:r w:rsidRPr="00F322A0">
              <w:t xml:space="preserve">onitoring </w:t>
            </w:r>
            <w:r>
              <w:t>P</w:t>
            </w:r>
            <w:r w:rsidRPr="00F322A0">
              <w:t>rocess</w:t>
            </w:r>
            <w:r>
              <w:t>*</w:t>
            </w:r>
          </w:p>
        </w:tc>
      </w:tr>
      <w:tr w:rsidR="00C65283" w:rsidRPr="00F322A0" w14:paraId="63D17079" w14:textId="77777777" w:rsidTr="004F1C13">
        <w:trPr>
          <w:trHeight w:val="967"/>
        </w:trPr>
        <w:tc>
          <w:tcPr>
            <w:tcW w:w="2457" w:type="pct"/>
            <w:tcBorders>
              <w:top w:val="nil"/>
              <w:left w:val="single" w:sz="4" w:space="0" w:color="auto"/>
              <w:bottom w:val="single" w:sz="4" w:space="0" w:color="auto"/>
              <w:right w:val="single" w:sz="4" w:space="0" w:color="auto"/>
            </w:tcBorders>
            <w:shd w:val="clear" w:color="auto" w:fill="auto"/>
            <w:vAlign w:val="center"/>
            <w:hideMark/>
          </w:tcPr>
          <w:p w14:paraId="58B185E3" w14:textId="4878BAFC" w:rsidR="00C65283" w:rsidRPr="00F22893" w:rsidRDefault="00C65283" w:rsidP="00040032">
            <w:pPr>
              <w:pStyle w:val="ListParagraph"/>
              <w:numPr>
                <w:ilvl w:val="0"/>
                <w:numId w:val="11"/>
              </w:numPr>
              <w:ind w:left="420"/>
            </w:pPr>
            <w:r w:rsidRPr="00AA54A9">
              <w:t xml:space="preserve">The Department and </w:t>
            </w:r>
            <w:r w:rsidR="00914BC5">
              <w:t>state support team</w:t>
            </w:r>
            <w:r w:rsidRPr="00AA54A9">
              <w:t xml:space="preserve"> </w:t>
            </w:r>
            <w:r w:rsidR="003E011C">
              <w:t xml:space="preserve">consultants </w:t>
            </w:r>
            <w:r w:rsidRPr="00AA54A9">
              <w:t xml:space="preserve">will assist districts and community schools with analysis of subgroup participation data to identify and address any disproportionalities in assignment of subgroups to the </w:t>
            </w:r>
            <w:r w:rsidR="00914BC5">
              <w:t>alternate assessment</w:t>
            </w:r>
            <w:r w:rsidRPr="00AA54A9">
              <w:t xml:space="preserve">. Districts and community schools with significant disproportionalities will address the root causes as part of their </w:t>
            </w:r>
            <w:r w:rsidR="00914BC5">
              <w:t xml:space="preserve">improvement plans. </w:t>
            </w:r>
          </w:p>
        </w:tc>
        <w:tc>
          <w:tcPr>
            <w:tcW w:w="2543" w:type="pct"/>
            <w:tcBorders>
              <w:top w:val="nil"/>
              <w:left w:val="nil"/>
              <w:bottom w:val="single" w:sz="4" w:space="0" w:color="auto"/>
              <w:right w:val="single" w:sz="4" w:space="0" w:color="auto"/>
            </w:tcBorders>
            <w:shd w:val="clear" w:color="auto" w:fill="auto"/>
            <w:vAlign w:val="center"/>
            <w:hideMark/>
          </w:tcPr>
          <w:p w14:paraId="5E3495A6" w14:textId="77777777" w:rsidR="00914BC5" w:rsidRDefault="00C65283" w:rsidP="00426221">
            <w:pPr>
              <w:pStyle w:val="ListParagraph"/>
              <w:numPr>
                <w:ilvl w:val="0"/>
                <w:numId w:val="7"/>
              </w:numPr>
              <w:spacing w:after="0"/>
              <w:ind w:left="339"/>
            </w:pPr>
            <w:r w:rsidRPr="00F322A0">
              <w:t>District Self-Review Summary Report</w:t>
            </w:r>
            <w:r>
              <w:t>*</w:t>
            </w:r>
          </w:p>
          <w:p w14:paraId="0A08B4ED" w14:textId="689BC275" w:rsidR="001908C8" w:rsidRDefault="00914BC5" w:rsidP="00426221">
            <w:pPr>
              <w:pStyle w:val="ListParagraph"/>
              <w:numPr>
                <w:ilvl w:val="0"/>
                <w:numId w:val="7"/>
              </w:numPr>
              <w:spacing w:after="0"/>
              <w:ind w:left="339"/>
            </w:pPr>
            <w:r>
              <w:t>District Improvement Plan Template</w:t>
            </w:r>
            <w:r w:rsidR="001908C8">
              <w:t>*</w:t>
            </w:r>
          </w:p>
          <w:p w14:paraId="6D0E975B" w14:textId="653D761A" w:rsidR="00C65283" w:rsidRPr="00120191" w:rsidRDefault="001908C8" w:rsidP="00426221">
            <w:pPr>
              <w:pStyle w:val="ListParagraph"/>
              <w:numPr>
                <w:ilvl w:val="0"/>
                <w:numId w:val="7"/>
              </w:numPr>
              <w:spacing w:after="0"/>
              <w:ind w:left="339"/>
            </w:pPr>
            <w:r w:rsidRPr="001908C8">
              <w:t>State Support Team Alternate Assessment Participation Professional Development Toolkit</w:t>
            </w:r>
            <w:r>
              <w:t>*</w:t>
            </w:r>
            <w:r w:rsidR="00C65283" w:rsidRPr="001908C8">
              <w:t xml:space="preserve"> </w:t>
            </w:r>
          </w:p>
        </w:tc>
      </w:tr>
      <w:tr w:rsidR="00C65283" w:rsidRPr="00F322A0" w14:paraId="76C293AD" w14:textId="77777777" w:rsidTr="004F1C13">
        <w:trPr>
          <w:trHeight w:val="1822"/>
        </w:trPr>
        <w:tc>
          <w:tcPr>
            <w:tcW w:w="2457" w:type="pct"/>
            <w:tcBorders>
              <w:top w:val="nil"/>
              <w:left w:val="single" w:sz="4" w:space="0" w:color="auto"/>
              <w:bottom w:val="single" w:sz="4" w:space="0" w:color="auto"/>
              <w:right w:val="single" w:sz="4" w:space="0" w:color="auto"/>
            </w:tcBorders>
            <w:shd w:val="clear" w:color="auto" w:fill="auto"/>
            <w:vAlign w:val="center"/>
            <w:hideMark/>
          </w:tcPr>
          <w:p w14:paraId="74D4B9E1" w14:textId="16F724D1" w:rsidR="00C65283" w:rsidRPr="00F22893" w:rsidRDefault="00C65283" w:rsidP="00040032">
            <w:pPr>
              <w:pStyle w:val="ListParagraph"/>
              <w:numPr>
                <w:ilvl w:val="0"/>
                <w:numId w:val="11"/>
              </w:numPr>
              <w:ind w:left="420"/>
            </w:pPr>
            <w:r>
              <w:t xml:space="preserve">The </w:t>
            </w:r>
            <w:r w:rsidRPr="003D1412">
              <w:t xml:space="preserve">Department </w:t>
            </w:r>
            <w:r>
              <w:t xml:space="preserve">and </w:t>
            </w:r>
            <w:r w:rsidR="00914BC5">
              <w:t>state support team</w:t>
            </w:r>
            <w:r>
              <w:t xml:space="preserve"> </w:t>
            </w:r>
            <w:r w:rsidR="003E011C">
              <w:t>consultants</w:t>
            </w:r>
            <w:r>
              <w:t xml:space="preserve"> </w:t>
            </w:r>
            <w:r w:rsidRPr="003D1412">
              <w:t xml:space="preserve">will engage in discussions with teachers, administrators and </w:t>
            </w:r>
            <w:r w:rsidR="00914BC5">
              <w:t xml:space="preserve">Individualized Education </w:t>
            </w:r>
            <w:r w:rsidR="006824BF">
              <w:t>Program</w:t>
            </w:r>
            <w:r w:rsidRPr="003D1412">
              <w:t xml:space="preserve"> team members</w:t>
            </w:r>
            <w:r>
              <w:t xml:space="preserve"> as part of monitoring processes and </w:t>
            </w:r>
            <w:r w:rsidRPr="003D1412">
              <w:t>root cause analysis</w:t>
            </w:r>
            <w:r>
              <w:t xml:space="preserve"> as needed. </w:t>
            </w:r>
            <w:r w:rsidRPr="003D1412">
              <w:t xml:space="preserve"> </w:t>
            </w:r>
          </w:p>
        </w:tc>
        <w:tc>
          <w:tcPr>
            <w:tcW w:w="2543" w:type="pct"/>
            <w:tcBorders>
              <w:top w:val="nil"/>
              <w:left w:val="nil"/>
              <w:bottom w:val="single" w:sz="4" w:space="0" w:color="auto"/>
              <w:right w:val="single" w:sz="4" w:space="0" w:color="auto"/>
            </w:tcBorders>
            <w:shd w:val="clear" w:color="auto" w:fill="auto"/>
            <w:vAlign w:val="center"/>
            <w:hideMark/>
          </w:tcPr>
          <w:p w14:paraId="388ECFA4" w14:textId="77777777" w:rsidR="00C65283" w:rsidRPr="00F322A0" w:rsidRDefault="00C65283" w:rsidP="00426221">
            <w:pPr>
              <w:pStyle w:val="ListParagraph"/>
              <w:numPr>
                <w:ilvl w:val="0"/>
                <w:numId w:val="7"/>
              </w:numPr>
              <w:ind w:left="339"/>
            </w:pPr>
            <w:r>
              <w:t xml:space="preserve">Office for Exceptional Children </w:t>
            </w:r>
            <w:r w:rsidRPr="00F322A0">
              <w:t xml:space="preserve">Comprehensive </w:t>
            </w:r>
            <w:r>
              <w:t>M</w:t>
            </w:r>
            <w:r w:rsidRPr="00F322A0">
              <w:t xml:space="preserve">onitoring </w:t>
            </w:r>
            <w:r>
              <w:t>P</w:t>
            </w:r>
            <w:r w:rsidRPr="00F322A0">
              <w:t>rocess</w:t>
            </w:r>
            <w:r>
              <w:t xml:space="preserve">* </w:t>
            </w:r>
          </w:p>
          <w:p w14:paraId="59C09C72" w14:textId="77777777" w:rsidR="00C65283" w:rsidRDefault="00C65283" w:rsidP="00426221">
            <w:pPr>
              <w:pStyle w:val="ListParagraph"/>
              <w:numPr>
                <w:ilvl w:val="0"/>
                <w:numId w:val="7"/>
              </w:numPr>
              <w:ind w:left="339"/>
            </w:pPr>
            <w:r w:rsidRPr="00F322A0">
              <w:t>Parent meetings led by Office</w:t>
            </w:r>
            <w:r>
              <w:t xml:space="preserve"> for Exceptional Children staff*</w:t>
            </w:r>
          </w:p>
          <w:p w14:paraId="4D3EA166" w14:textId="77777777" w:rsidR="00C65283" w:rsidRPr="00F322A0" w:rsidRDefault="00C65283" w:rsidP="00426221">
            <w:pPr>
              <w:pStyle w:val="ListParagraph"/>
              <w:numPr>
                <w:ilvl w:val="0"/>
                <w:numId w:val="7"/>
              </w:numPr>
              <w:ind w:left="339"/>
            </w:pPr>
            <w:r>
              <w:t>Parent public meeting notice and notification letter*</w:t>
            </w:r>
          </w:p>
        </w:tc>
      </w:tr>
      <w:tr w:rsidR="00C65283" w:rsidRPr="00F322A0" w14:paraId="79CBDE75" w14:textId="77777777" w:rsidTr="004F1C13">
        <w:trPr>
          <w:trHeight w:val="1570"/>
        </w:trPr>
        <w:tc>
          <w:tcPr>
            <w:tcW w:w="2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A85AF2" w14:textId="79024D19" w:rsidR="00C65283" w:rsidRPr="003D118F" w:rsidRDefault="00C65283" w:rsidP="00040032">
            <w:pPr>
              <w:pStyle w:val="ListParagraph"/>
              <w:numPr>
                <w:ilvl w:val="0"/>
                <w:numId w:val="11"/>
              </w:numPr>
              <w:ind w:left="510"/>
              <w:rPr>
                <w:color w:val="C00000"/>
              </w:rPr>
            </w:pPr>
            <w:r w:rsidRPr="001155D8">
              <w:t xml:space="preserve">Parents and families will be notified of </w:t>
            </w:r>
            <w:r>
              <w:t xml:space="preserve">monitoring procedures and </w:t>
            </w:r>
            <w:r w:rsidRPr="001155D8">
              <w:t>records review</w:t>
            </w:r>
            <w:r>
              <w:t>s</w:t>
            </w:r>
            <w:r w:rsidRPr="001155D8">
              <w:t xml:space="preserve"> </w:t>
            </w:r>
            <w:r>
              <w:t xml:space="preserve">and provided </w:t>
            </w:r>
            <w:r w:rsidRPr="001155D8">
              <w:t xml:space="preserve">opportunities to ask questions and participate in discussions as members of the </w:t>
            </w:r>
            <w:r w:rsidR="006824BF">
              <w:t>Individualized Education Program</w:t>
            </w:r>
            <w:r w:rsidRPr="001155D8">
              <w:t xml:space="preserve"> teams.</w:t>
            </w:r>
          </w:p>
        </w:tc>
        <w:tc>
          <w:tcPr>
            <w:tcW w:w="2543" w:type="pct"/>
            <w:tcBorders>
              <w:top w:val="single" w:sz="4" w:space="0" w:color="auto"/>
              <w:left w:val="nil"/>
              <w:bottom w:val="single" w:sz="4" w:space="0" w:color="auto"/>
              <w:right w:val="single" w:sz="4" w:space="0" w:color="auto"/>
            </w:tcBorders>
            <w:shd w:val="clear" w:color="auto" w:fill="auto"/>
            <w:vAlign w:val="center"/>
            <w:hideMark/>
          </w:tcPr>
          <w:p w14:paraId="211011E5" w14:textId="77777777" w:rsidR="00C65283" w:rsidRPr="00F322A0" w:rsidRDefault="00C65283" w:rsidP="00426221">
            <w:pPr>
              <w:pStyle w:val="ListParagraph"/>
              <w:numPr>
                <w:ilvl w:val="0"/>
                <w:numId w:val="7"/>
              </w:numPr>
              <w:ind w:left="339"/>
            </w:pPr>
            <w:r w:rsidRPr="00F322A0">
              <w:t>Parent meetings led by Office for Exceptional Children staff</w:t>
            </w:r>
            <w:r>
              <w:t>*</w:t>
            </w:r>
          </w:p>
          <w:p w14:paraId="008B4467" w14:textId="77777777" w:rsidR="00C65283" w:rsidRPr="00F322A0" w:rsidRDefault="00C65283" w:rsidP="00426221">
            <w:pPr>
              <w:pStyle w:val="ListParagraph"/>
              <w:numPr>
                <w:ilvl w:val="0"/>
                <w:numId w:val="7"/>
              </w:numPr>
              <w:ind w:left="339"/>
            </w:pPr>
            <w:r>
              <w:t>Parent public meeting notice and notification letter*</w:t>
            </w:r>
          </w:p>
        </w:tc>
      </w:tr>
      <w:tr w:rsidR="00C65283" w:rsidRPr="00F322A0" w14:paraId="20A38682" w14:textId="77777777" w:rsidTr="004F1C13">
        <w:trPr>
          <w:trHeight w:val="1553"/>
        </w:trPr>
        <w:tc>
          <w:tcPr>
            <w:tcW w:w="2457" w:type="pct"/>
            <w:tcBorders>
              <w:top w:val="single" w:sz="4" w:space="0" w:color="auto"/>
              <w:left w:val="single" w:sz="4" w:space="0" w:color="auto"/>
              <w:bottom w:val="single" w:sz="4" w:space="0" w:color="auto"/>
              <w:right w:val="single" w:sz="4" w:space="0" w:color="auto"/>
            </w:tcBorders>
            <w:shd w:val="clear" w:color="auto" w:fill="auto"/>
            <w:vAlign w:val="center"/>
          </w:tcPr>
          <w:p w14:paraId="1D2233CE" w14:textId="4D115A14" w:rsidR="00C65283" w:rsidRPr="003D118F" w:rsidRDefault="00C65283" w:rsidP="00040032">
            <w:pPr>
              <w:pStyle w:val="ListParagraph"/>
              <w:numPr>
                <w:ilvl w:val="0"/>
                <w:numId w:val="11"/>
              </w:numPr>
              <w:ind w:left="510"/>
              <w:rPr>
                <w:color w:val="000000" w:themeColor="text1"/>
              </w:rPr>
            </w:pPr>
            <w:r w:rsidRPr="00F53907">
              <w:rPr>
                <w:color w:val="000000" w:themeColor="text1"/>
              </w:rPr>
              <w:t xml:space="preserve">The Department’s Office of Innovation and Improvement will include alternate assessment participation in </w:t>
            </w:r>
            <w:r>
              <w:rPr>
                <w:color w:val="000000" w:themeColor="text1"/>
              </w:rPr>
              <w:t>its</w:t>
            </w:r>
            <w:r w:rsidRPr="00F53907">
              <w:rPr>
                <w:color w:val="000000" w:themeColor="text1"/>
              </w:rPr>
              <w:t xml:space="preserve"> school improvement processes for high</w:t>
            </w:r>
            <w:r>
              <w:rPr>
                <w:color w:val="000000" w:themeColor="text1"/>
              </w:rPr>
              <w:t>-</w:t>
            </w:r>
            <w:r w:rsidRPr="00F53907">
              <w:rPr>
                <w:color w:val="000000" w:themeColor="text1"/>
              </w:rPr>
              <w:t xml:space="preserve">priority schools and districts. </w:t>
            </w:r>
          </w:p>
        </w:tc>
        <w:tc>
          <w:tcPr>
            <w:tcW w:w="2543" w:type="pct"/>
            <w:tcBorders>
              <w:top w:val="single" w:sz="4" w:space="0" w:color="auto"/>
              <w:left w:val="nil"/>
              <w:bottom w:val="single" w:sz="4" w:space="0" w:color="auto"/>
              <w:right w:val="single" w:sz="4" w:space="0" w:color="auto"/>
            </w:tcBorders>
            <w:shd w:val="clear" w:color="auto" w:fill="auto"/>
            <w:vAlign w:val="center"/>
          </w:tcPr>
          <w:p w14:paraId="442A2A3F" w14:textId="7849E692" w:rsidR="00C65283" w:rsidRPr="002B3151" w:rsidRDefault="001908C8" w:rsidP="00426221">
            <w:pPr>
              <w:pStyle w:val="ListParagraph"/>
              <w:numPr>
                <w:ilvl w:val="0"/>
                <w:numId w:val="7"/>
              </w:numPr>
              <w:ind w:left="339"/>
              <w:rPr>
                <w:b/>
              </w:rPr>
            </w:pPr>
            <w:r w:rsidRPr="001908C8">
              <w:t>Compliance Support Tool*</w:t>
            </w:r>
          </w:p>
        </w:tc>
      </w:tr>
    </w:tbl>
    <w:p w14:paraId="47D9307F" w14:textId="77777777" w:rsidR="00755F93" w:rsidRDefault="00755F93" w:rsidP="00755F93">
      <w:pPr>
        <w:pStyle w:val="Heading3"/>
      </w:pPr>
      <w:bookmarkStart w:id="56" w:name="_Toc524527564"/>
      <w:bookmarkStart w:id="57" w:name="_Toc20039358"/>
      <w:bookmarkStart w:id="58" w:name="_Toc54954307"/>
      <w:bookmarkEnd w:id="55"/>
      <w:r w:rsidRPr="003D118F">
        <w:lastRenderedPageBreak/>
        <w:t>Evidence of Progress</w:t>
      </w:r>
      <w:r>
        <w:t xml:space="preserve">: </w:t>
      </w:r>
      <w:r w:rsidRPr="00524A82">
        <w:t>Tier 2</w:t>
      </w:r>
      <w:bookmarkEnd w:id="56"/>
      <w:bookmarkEnd w:id="57"/>
      <w:bookmarkEnd w:id="58"/>
      <w:r>
        <w:t xml:space="preserve"> </w:t>
      </w:r>
    </w:p>
    <w:p w14:paraId="6C6AD1CA" w14:textId="54108FD2" w:rsidR="00E52379" w:rsidRDefault="00755F93" w:rsidP="00755F93">
      <w:r>
        <w:t xml:space="preserve">Tier 2 </w:t>
      </w:r>
      <w:r w:rsidRPr="00524A82">
        <w:t xml:space="preserve">support </w:t>
      </w:r>
      <w:r>
        <w:t xml:space="preserve">is </w:t>
      </w:r>
      <w:r w:rsidR="009D1363">
        <w:t xml:space="preserve">for </w:t>
      </w:r>
      <w:r>
        <w:t xml:space="preserve">districts and community schools that </w:t>
      </w:r>
      <w:r w:rsidR="009D1363">
        <w:t xml:space="preserve">need </w:t>
      </w:r>
      <w:r>
        <w:t xml:space="preserve">moderate support. This tier includes continued </w:t>
      </w:r>
      <w:r w:rsidRPr="00120191">
        <w:rPr>
          <w:color w:val="000000" w:themeColor="text1"/>
        </w:rPr>
        <w:t xml:space="preserve">Tier 1 </w:t>
      </w:r>
      <w:r>
        <w:t xml:space="preserve">support. </w:t>
      </w:r>
    </w:p>
    <w:p w14:paraId="5973C29E" w14:textId="3F26A940" w:rsidR="00EB508C" w:rsidRDefault="00755F93" w:rsidP="00755F93">
      <w:r>
        <w:t xml:space="preserve">The Department </w:t>
      </w:r>
      <w:r w:rsidR="00E52379">
        <w:t>provided</w:t>
      </w:r>
      <w:r>
        <w:t xml:space="preserve"> technical assistance and resources as outlined in the </w:t>
      </w:r>
      <w:r w:rsidR="00002101">
        <w:t>2020-2021</w:t>
      </w:r>
      <w:r w:rsidR="00EA4718">
        <w:t xml:space="preserve"> </w:t>
      </w:r>
      <w:r>
        <w:t xml:space="preserve">waiver. Evidence of implementation for each action step is listed in </w:t>
      </w:r>
      <w:r w:rsidR="00C941CA">
        <w:t>Table 6</w:t>
      </w:r>
      <w:r>
        <w:t xml:space="preserve"> below. Some of the sample documents referenced are available via web-based links or are available in the </w:t>
      </w:r>
      <w:r w:rsidR="00F631F7">
        <w:t xml:space="preserve">appendices </w:t>
      </w:r>
      <w:r>
        <w:t>(marked with an asterisk)</w:t>
      </w:r>
      <w:r w:rsidR="00C941CA">
        <w:t>.</w:t>
      </w:r>
    </w:p>
    <w:p w14:paraId="416BE947" w14:textId="755F1C51" w:rsidR="00755F93" w:rsidRPr="006D109C" w:rsidRDefault="00755F93" w:rsidP="00755F93">
      <w:pPr>
        <w:rPr>
          <w:b/>
        </w:rPr>
      </w:pPr>
      <w:r w:rsidRPr="00DE6A17">
        <w:rPr>
          <w:b/>
        </w:rPr>
        <w:t>T</w:t>
      </w:r>
      <w:r w:rsidR="00990B29">
        <w:rPr>
          <w:b/>
        </w:rPr>
        <w:t>able</w:t>
      </w:r>
      <w:r w:rsidRPr="00DE6A17">
        <w:rPr>
          <w:b/>
        </w:rPr>
        <w:t xml:space="preserve"> </w:t>
      </w:r>
      <w:r w:rsidR="003E4E55">
        <w:rPr>
          <w:b/>
        </w:rPr>
        <w:t>6</w:t>
      </w:r>
      <w:r w:rsidRPr="00DE6A17">
        <w:rPr>
          <w:b/>
        </w:rPr>
        <w:t xml:space="preserve">: Evidence of Tier </w:t>
      </w:r>
      <w:r>
        <w:rPr>
          <w:b/>
        </w:rPr>
        <w:t>2</w:t>
      </w:r>
      <w:r w:rsidRPr="00DE6A17">
        <w:rPr>
          <w:b/>
        </w:rPr>
        <w:t xml:space="preserve"> Progress 20</w:t>
      </w:r>
      <w:r w:rsidR="00410968">
        <w:rPr>
          <w:b/>
        </w:rPr>
        <w:t>20</w:t>
      </w:r>
      <w:r w:rsidR="003E4E55">
        <w:rPr>
          <w:b/>
        </w:rPr>
        <w:t>-202</w:t>
      </w:r>
      <w:r w:rsidR="00410968">
        <w:rPr>
          <w:b/>
        </w:rPr>
        <w:t>1</w:t>
      </w:r>
    </w:p>
    <w:tbl>
      <w:tblPr>
        <w:tblW w:w="5000" w:type="pct"/>
        <w:tblLook w:val="04A0" w:firstRow="1" w:lastRow="0" w:firstColumn="1" w:lastColumn="0" w:noHBand="0" w:noVBand="1"/>
        <w:tblCaption w:val="Evidence of Tier 2 Progress 2020-2021"/>
        <w:tblDescription w:val="This table includes planned action steps and evidence of implementation of these steps."/>
      </w:tblPr>
      <w:tblGrid>
        <w:gridCol w:w="4404"/>
        <w:gridCol w:w="6386"/>
      </w:tblGrid>
      <w:tr w:rsidR="00755F93" w:rsidRPr="00465217" w14:paraId="3A482966" w14:textId="77777777" w:rsidTr="00052FD3">
        <w:trPr>
          <w:trHeight w:val="508"/>
          <w:tblHeader/>
        </w:trPr>
        <w:tc>
          <w:tcPr>
            <w:tcW w:w="2041"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60FE843B" w14:textId="77777777" w:rsidR="00755F93" w:rsidRPr="00E154C2" w:rsidRDefault="00755F93" w:rsidP="00D9139F">
            <w:pPr>
              <w:spacing w:after="0"/>
              <w:jc w:val="center"/>
              <w:rPr>
                <w:b/>
              </w:rPr>
            </w:pPr>
            <w:bookmarkStart w:id="59" w:name="Evidence_Tier_2_Progress"/>
            <w:r w:rsidRPr="00E154C2">
              <w:rPr>
                <w:b/>
              </w:rPr>
              <w:t>Planned Action Steps</w:t>
            </w:r>
          </w:p>
        </w:tc>
        <w:tc>
          <w:tcPr>
            <w:tcW w:w="2959" w:type="pct"/>
            <w:tcBorders>
              <w:top w:val="single" w:sz="4" w:space="0" w:color="auto"/>
              <w:left w:val="nil"/>
              <w:bottom w:val="single" w:sz="4" w:space="0" w:color="auto"/>
              <w:right w:val="single" w:sz="4" w:space="0" w:color="auto"/>
            </w:tcBorders>
            <w:shd w:val="clear" w:color="auto" w:fill="FFFF99"/>
            <w:vAlign w:val="center"/>
            <w:hideMark/>
          </w:tcPr>
          <w:p w14:paraId="1F23C4F8" w14:textId="5CCE5014" w:rsidR="00755F93" w:rsidRPr="00E154C2" w:rsidRDefault="00755F93" w:rsidP="00D9139F">
            <w:pPr>
              <w:spacing w:after="0"/>
              <w:jc w:val="center"/>
              <w:rPr>
                <w:b/>
              </w:rPr>
            </w:pPr>
            <w:r w:rsidRPr="00E154C2">
              <w:rPr>
                <w:b/>
              </w:rPr>
              <w:t>Evidence</w:t>
            </w:r>
            <w:r>
              <w:rPr>
                <w:b/>
              </w:rPr>
              <w:t xml:space="preserve"> of</w:t>
            </w:r>
            <w:r w:rsidRPr="00E154C2">
              <w:rPr>
                <w:b/>
              </w:rPr>
              <w:t xml:space="preserve"> Implementation </w:t>
            </w:r>
            <w:r w:rsidR="00410968" w:rsidRPr="00433D18">
              <w:rPr>
                <w:b/>
              </w:rPr>
              <w:t>2020-21</w:t>
            </w:r>
          </w:p>
        </w:tc>
      </w:tr>
      <w:tr w:rsidR="00755F93" w:rsidRPr="00465217" w14:paraId="4E5F514C" w14:textId="77777777" w:rsidTr="00A658E6">
        <w:trPr>
          <w:trHeight w:val="2650"/>
        </w:trPr>
        <w:tc>
          <w:tcPr>
            <w:tcW w:w="2041" w:type="pct"/>
            <w:tcBorders>
              <w:top w:val="nil"/>
              <w:left w:val="single" w:sz="4" w:space="0" w:color="auto"/>
              <w:bottom w:val="single" w:sz="4" w:space="0" w:color="auto"/>
              <w:right w:val="single" w:sz="4" w:space="0" w:color="auto"/>
            </w:tcBorders>
            <w:shd w:val="clear" w:color="auto" w:fill="auto"/>
            <w:vAlign w:val="center"/>
            <w:hideMark/>
          </w:tcPr>
          <w:p w14:paraId="7D68F695" w14:textId="5C27F68C" w:rsidR="00755F93" w:rsidRPr="00F22893" w:rsidRDefault="00755F93" w:rsidP="00575A7F">
            <w:pPr>
              <w:pStyle w:val="ListParagraph"/>
              <w:numPr>
                <w:ilvl w:val="0"/>
                <w:numId w:val="9"/>
              </w:numPr>
              <w:ind w:left="343"/>
            </w:pPr>
            <w:r>
              <w:t xml:space="preserve">Department staff, in collaboration with </w:t>
            </w:r>
            <w:r w:rsidR="003E011C">
              <w:t>state support team consultants</w:t>
            </w:r>
            <w:r w:rsidR="00B800CB">
              <w:t>,</w:t>
            </w:r>
            <w:r>
              <w:t xml:space="preserve"> will lead regional and </w:t>
            </w:r>
            <w:r w:rsidRPr="004A0D8F">
              <w:t xml:space="preserve">local professional </w:t>
            </w:r>
            <w:r>
              <w:t>learning</w:t>
            </w:r>
            <w:r w:rsidRPr="004A0D8F">
              <w:t xml:space="preserve"> opportunities</w:t>
            </w:r>
            <w:r>
              <w:t xml:space="preserve"> focusing on analyzing data and reviewing special education records</w:t>
            </w:r>
            <w:r w:rsidR="002351B5">
              <w:t>.</w:t>
            </w:r>
          </w:p>
        </w:tc>
        <w:tc>
          <w:tcPr>
            <w:tcW w:w="2959" w:type="pct"/>
            <w:tcBorders>
              <w:top w:val="nil"/>
              <w:left w:val="nil"/>
              <w:bottom w:val="single" w:sz="4" w:space="0" w:color="auto"/>
              <w:right w:val="single" w:sz="4" w:space="0" w:color="auto"/>
            </w:tcBorders>
            <w:shd w:val="clear" w:color="auto" w:fill="auto"/>
            <w:vAlign w:val="center"/>
            <w:hideMark/>
          </w:tcPr>
          <w:p w14:paraId="5F9D8A56" w14:textId="52351CB7" w:rsidR="00B800CB" w:rsidRPr="001908C8" w:rsidRDefault="00B800CB" w:rsidP="004F1C13">
            <w:pPr>
              <w:pStyle w:val="ListParagraph"/>
              <w:numPr>
                <w:ilvl w:val="0"/>
                <w:numId w:val="7"/>
              </w:numPr>
              <w:spacing w:after="0"/>
              <w:ind w:left="341"/>
            </w:pPr>
            <w:r w:rsidRPr="001908C8">
              <w:t>State Support Team Alternate Assessment Participation Professional Development Toolkit</w:t>
            </w:r>
            <w:r>
              <w:t>*</w:t>
            </w:r>
          </w:p>
          <w:p w14:paraId="33714402" w14:textId="557BE9CA" w:rsidR="00755F93" w:rsidRPr="00465217" w:rsidRDefault="00755F93" w:rsidP="004F1C13">
            <w:pPr>
              <w:pStyle w:val="ListParagraph"/>
              <w:numPr>
                <w:ilvl w:val="0"/>
                <w:numId w:val="7"/>
              </w:numPr>
              <w:ind w:left="341"/>
            </w:pPr>
            <w:r>
              <w:t>Regional meetings with special education administrators</w:t>
            </w:r>
          </w:p>
          <w:p w14:paraId="1F84F74F" w14:textId="77777777" w:rsidR="00755F93" w:rsidRPr="00465217" w:rsidRDefault="00755F93" w:rsidP="004F1C13">
            <w:pPr>
              <w:pStyle w:val="ListParagraph"/>
              <w:numPr>
                <w:ilvl w:val="0"/>
                <w:numId w:val="7"/>
              </w:numPr>
              <w:ind w:left="341"/>
            </w:pPr>
            <w:r w:rsidRPr="00465217">
              <w:t>Ohio Statewide Testing and Students with Disabilities Advisory Committee meetings</w:t>
            </w:r>
            <w:r>
              <w:t>*</w:t>
            </w:r>
          </w:p>
          <w:p w14:paraId="4B1060D3" w14:textId="6B16512D" w:rsidR="00F376B9" w:rsidRPr="00465217" w:rsidRDefault="00755F93" w:rsidP="004F1C13">
            <w:pPr>
              <w:pStyle w:val="ListParagraph"/>
              <w:numPr>
                <w:ilvl w:val="0"/>
                <w:numId w:val="7"/>
              </w:numPr>
              <w:ind w:left="341"/>
            </w:pPr>
            <w:r>
              <w:t>Presentations at Ohio Association of Pupil Service Administrators meetings and other professional organizations</w:t>
            </w:r>
            <w:r w:rsidR="412D5929">
              <w:t>*</w:t>
            </w:r>
          </w:p>
        </w:tc>
      </w:tr>
      <w:tr w:rsidR="00755F93" w:rsidRPr="00465217" w14:paraId="6DE852B5" w14:textId="77777777" w:rsidTr="00A658E6">
        <w:trPr>
          <w:trHeight w:val="2038"/>
        </w:trPr>
        <w:tc>
          <w:tcPr>
            <w:tcW w:w="2041" w:type="pct"/>
            <w:tcBorders>
              <w:top w:val="nil"/>
              <w:left w:val="single" w:sz="4" w:space="0" w:color="auto"/>
              <w:bottom w:val="single" w:sz="4" w:space="0" w:color="auto"/>
              <w:right w:val="single" w:sz="4" w:space="0" w:color="auto"/>
            </w:tcBorders>
            <w:shd w:val="clear" w:color="auto" w:fill="auto"/>
            <w:vAlign w:val="center"/>
            <w:hideMark/>
          </w:tcPr>
          <w:p w14:paraId="39BEB7DC" w14:textId="664FF996" w:rsidR="00755F93" w:rsidRPr="00F22893" w:rsidRDefault="00755F93" w:rsidP="00A658E6">
            <w:pPr>
              <w:pStyle w:val="ListParagraph"/>
              <w:numPr>
                <w:ilvl w:val="0"/>
                <w:numId w:val="9"/>
              </w:numPr>
              <w:ind w:left="337"/>
            </w:pPr>
            <w:r w:rsidRPr="00F53907">
              <w:rPr>
                <w:color w:val="000000" w:themeColor="text1"/>
              </w:rPr>
              <w:t xml:space="preserve">Department staff, in collaboration with </w:t>
            </w:r>
            <w:r w:rsidR="003E011C">
              <w:t>state support team consultants</w:t>
            </w:r>
            <w:r w:rsidRPr="00F53907">
              <w:rPr>
                <w:color w:val="000000" w:themeColor="text1"/>
              </w:rPr>
              <w:t>, will provide training opportunities for special education leaders</w:t>
            </w:r>
            <w:r>
              <w:rPr>
                <w:color w:val="000000" w:themeColor="text1"/>
              </w:rPr>
              <w:t>,</w:t>
            </w:r>
            <w:r w:rsidRPr="00F53907">
              <w:rPr>
                <w:color w:val="000000" w:themeColor="text1"/>
              </w:rPr>
              <w:t xml:space="preserve"> as well as district and school administrators to ensure </w:t>
            </w:r>
            <w:r w:rsidR="00B800CB">
              <w:rPr>
                <w:color w:val="000000" w:themeColor="text1"/>
              </w:rPr>
              <w:t>Individualized Education Program</w:t>
            </w:r>
            <w:r w:rsidRPr="00F53907">
              <w:rPr>
                <w:color w:val="000000" w:themeColor="text1"/>
              </w:rPr>
              <w:t xml:space="preserve"> teams have the necessary resources and are using them properly.</w:t>
            </w:r>
          </w:p>
        </w:tc>
        <w:tc>
          <w:tcPr>
            <w:tcW w:w="2959" w:type="pct"/>
            <w:tcBorders>
              <w:top w:val="nil"/>
              <w:left w:val="nil"/>
              <w:bottom w:val="single" w:sz="4" w:space="0" w:color="auto"/>
              <w:right w:val="single" w:sz="4" w:space="0" w:color="auto"/>
            </w:tcBorders>
            <w:shd w:val="clear" w:color="auto" w:fill="auto"/>
            <w:vAlign w:val="center"/>
            <w:hideMark/>
          </w:tcPr>
          <w:p w14:paraId="0BD51404" w14:textId="77777777" w:rsidR="00B800CB" w:rsidRPr="001908C8" w:rsidRDefault="00B800CB" w:rsidP="004F1C13">
            <w:pPr>
              <w:pStyle w:val="ListParagraph"/>
              <w:numPr>
                <w:ilvl w:val="0"/>
                <w:numId w:val="7"/>
              </w:numPr>
              <w:spacing w:after="0"/>
              <w:ind w:left="341"/>
            </w:pPr>
            <w:r w:rsidRPr="001908C8">
              <w:t>State Support Team Alternate Assessment Participation Professional Development Toolkit</w:t>
            </w:r>
            <w:r>
              <w:t>*</w:t>
            </w:r>
            <w:r w:rsidRPr="001908C8">
              <w:t xml:space="preserve"> </w:t>
            </w:r>
          </w:p>
          <w:p w14:paraId="76685298" w14:textId="649813B4" w:rsidR="00755F93" w:rsidRDefault="00755F93" w:rsidP="004F1C13">
            <w:pPr>
              <w:pStyle w:val="ListParagraph"/>
              <w:numPr>
                <w:ilvl w:val="0"/>
                <w:numId w:val="7"/>
              </w:numPr>
              <w:ind w:left="341"/>
            </w:pPr>
            <w:r>
              <w:t xml:space="preserve">Regional meetings with special education administrators </w:t>
            </w:r>
          </w:p>
          <w:p w14:paraId="1B357C25" w14:textId="77777777" w:rsidR="00755F93" w:rsidRPr="00DC5406" w:rsidRDefault="00755F93" w:rsidP="004F1C13">
            <w:pPr>
              <w:pStyle w:val="ListParagraph"/>
              <w:numPr>
                <w:ilvl w:val="0"/>
                <w:numId w:val="7"/>
              </w:numPr>
              <w:ind w:left="341"/>
            </w:pPr>
            <w:r w:rsidRPr="00465217">
              <w:t>Presentations at Ohio Association of Pupil Service Administrators meetings</w:t>
            </w:r>
            <w:r>
              <w:t xml:space="preserve"> and other professional organizations*</w:t>
            </w:r>
          </w:p>
        </w:tc>
      </w:tr>
      <w:tr w:rsidR="00755F93" w:rsidRPr="00465217" w14:paraId="1A098B6D" w14:textId="77777777" w:rsidTr="00A658E6">
        <w:trPr>
          <w:trHeight w:val="2011"/>
        </w:trPr>
        <w:tc>
          <w:tcPr>
            <w:tcW w:w="2041" w:type="pct"/>
            <w:tcBorders>
              <w:top w:val="nil"/>
              <w:left w:val="single" w:sz="4" w:space="0" w:color="auto"/>
              <w:bottom w:val="single" w:sz="4" w:space="0" w:color="auto"/>
              <w:right w:val="single" w:sz="4" w:space="0" w:color="auto"/>
            </w:tcBorders>
            <w:shd w:val="clear" w:color="auto" w:fill="auto"/>
            <w:vAlign w:val="center"/>
            <w:hideMark/>
          </w:tcPr>
          <w:p w14:paraId="34C79D80" w14:textId="2B037C30" w:rsidR="00755F93" w:rsidRPr="00F22893" w:rsidRDefault="00755F93" w:rsidP="00A658E6">
            <w:pPr>
              <w:pStyle w:val="ListParagraph"/>
              <w:numPr>
                <w:ilvl w:val="0"/>
                <w:numId w:val="9"/>
              </w:numPr>
              <w:ind w:left="337"/>
            </w:pPr>
            <w:r w:rsidRPr="00FC6989">
              <w:t xml:space="preserve">The Department will develop training resources to address disproportionality in the assignment of subgroups of students to the </w:t>
            </w:r>
            <w:r w:rsidR="00713F07">
              <w:t>alternate assessment</w:t>
            </w:r>
            <w:r w:rsidR="00F917D3">
              <w:t>.</w:t>
            </w:r>
          </w:p>
        </w:tc>
        <w:tc>
          <w:tcPr>
            <w:tcW w:w="2959" w:type="pct"/>
            <w:tcBorders>
              <w:top w:val="nil"/>
              <w:left w:val="nil"/>
              <w:bottom w:val="single" w:sz="4" w:space="0" w:color="auto"/>
              <w:right w:val="single" w:sz="4" w:space="0" w:color="auto"/>
            </w:tcBorders>
            <w:shd w:val="clear" w:color="auto" w:fill="auto"/>
            <w:vAlign w:val="center"/>
            <w:hideMark/>
          </w:tcPr>
          <w:p w14:paraId="536209BB" w14:textId="77777777" w:rsidR="00A9224B" w:rsidRPr="001908C8" w:rsidRDefault="00A9224B" w:rsidP="004F1C13">
            <w:pPr>
              <w:pStyle w:val="ListParagraph"/>
              <w:numPr>
                <w:ilvl w:val="0"/>
                <w:numId w:val="7"/>
              </w:numPr>
              <w:spacing w:after="0"/>
              <w:ind w:left="341"/>
            </w:pPr>
            <w:r w:rsidRPr="001908C8">
              <w:t>State Support Team Alternate Assessment Participation Professional Development Toolkit</w:t>
            </w:r>
            <w:r>
              <w:t>*</w:t>
            </w:r>
            <w:r w:rsidRPr="001908C8">
              <w:t xml:space="preserve"> </w:t>
            </w:r>
          </w:p>
          <w:p w14:paraId="1E599B7A" w14:textId="77777777" w:rsidR="00A9224B" w:rsidRDefault="00A9224B" w:rsidP="004F1C13">
            <w:pPr>
              <w:pStyle w:val="ListParagraph"/>
              <w:numPr>
                <w:ilvl w:val="0"/>
                <w:numId w:val="14"/>
              </w:numPr>
              <w:ind w:left="341"/>
            </w:pPr>
            <w:r>
              <w:t xml:space="preserve">Office for Exceptional Children </w:t>
            </w:r>
            <w:r w:rsidRPr="00F322A0">
              <w:t xml:space="preserve">Comprehensive </w:t>
            </w:r>
            <w:r>
              <w:t>M</w:t>
            </w:r>
            <w:r w:rsidRPr="00F322A0">
              <w:t xml:space="preserve">onitoring </w:t>
            </w:r>
            <w:r>
              <w:t>P</w:t>
            </w:r>
            <w:r w:rsidRPr="00F322A0">
              <w:t>rocess</w:t>
            </w:r>
            <w:r>
              <w:t xml:space="preserve">* </w:t>
            </w:r>
          </w:p>
          <w:p w14:paraId="1CD15EF9" w14:textId="77777777" w:rsidR="00A9224B" w:rsidRDefault="00A7758B" w:rsidP="004F1C13">
            <w:pPr>
              <w:pStyle w:val="ListParagraph"/>
              <w:numPr>
                <w:ilvl w:val="0"/>
                <w:numId w:val="14"/>
              </w:numPr>
              <w:ind w:left="341"/>
            </w:pPr>
            <w:hyperlink r:id="rId28" w:history="1">
              <w:r w:rsidR="00A9224B">
                <w:rPr>
                  <w:rStyle w:val="Hyperlink"/>
                </w:rPr>
                <w:t xml:space="preserve">Universal Support </w:t>
              </w:r>
              <w:r w:rsidR="00A9224B" w:rsidRPr="004A52C9">
                <w:rPr>
                  <w:rStyle w:val="Hyperlink"/>
                </w:rPr>
                <w:t>Training Materials</w:t>
              </w:r>
            </w:hyperlink>
            <w:r w:rsidR="00A9224B">
              <w:t xml:space="preserve"> </w:t>
            </w:r>
          </w:p>
          <w:p w14:paraId="177AD11A" w14:textId="5915C6FF" w:rsidR="00755F93" w:rsidRPr="00A658E6" w:rsidRDefault="00A7758B" w:rsidP="004F1C13">
            <w:pPr>
              <w:pStyle w:val="ListParagraph"/>
              <w:numPr>
                <w:ilvl w:val="0"/>
                <w:numId w:val="14"/>
              </w:numPr>
              <w:ind w:left="341"/>
              <w:rPr>
                <w:rStyle w:val="Hyperlink"/>
                <w:color w:val="auto"/>
                <w:u w:val="none"/>
              </w:rPr>
            </w:pPr>
            <w:hyperlink r:id="rId29" w:history="1">
              <w:r w:rsidR="006C08BF" w:rsidRPr="00AC6DFE">
                <w:rPr>
                  <w:rStyle w:val="Hyperlink"/>
                </w:rPr>
                <w:t>Alternate Assessment Decision-</w:t>
              </w:r>
              <w:r w:rsidR="00B9229B">
                <w:rPr>
                  <w:rStyle w:val="Hyperlink"/>
                </w:rPr>
                <w:t>M</w:t>
              </w:r>
              <w:r w:rsidR="006C08BF" w:rsidRPr="00AC6DFE">
                <w:rPr>
                  <w:rStyle w:val="Hyperlink"/>
                </w:rPr>
                <w:t>aking Tool</w:t>
              </w:r>
            </w:hyperlink>
            <w:r w:rsidR="00053FDF">
              <w:rPr>
                <w:rStyle w:val="Hyperlink"/>
              </w:rPr>
              <w:t xml:space="preserve"> </w:t>
            </w:r>
          </w:p>
          <w:p w14:paraId="560F0A43" w14:textId="7ED26810" w:rsidR="00A658E6" w:rsidRPr="00A9224B" w:rsidRDefault="00A7758B" w:rsidP="004F1C13">
            <w:pPr>
              <w:pStyle w:val="ListParagraph"/>
              <w:numPr>
                <w:ilvl w:val="0"/>
                <w:numId w:val="14"/>
              </w:numPr>
              <w:ind w:left="341"/>
            </w:pPr>
            <w:hyperlink r:id="rId30" w:history="1">
              <w:r w:rsidR="00774F7A" w:rsidRPr="009C637F">
                <w:rPr>
                  <w:rStyle w:val="Hyperlink"/>
                </w:rPr>
                <w:t>Disproportionality Calculator</w:t>
              </w:r>
            </w:hyperlink>
          </w:p>
        </w:tc>
      </w:tr>
      <w:bookmarkEnd w:id="59"/>
    </w:tbl>
    <w:p w14:paraId="0AF737C2" w14:textId="77777777" w:rsidR="00755F93" w:rsidRDefault="00755F93" w:rsidP="00755F93"/>
    <w:p w14:paraId="16BBF255" w14:textId="58772A47" w:rsidR="001E57AB" w:rsidRPr="005D4A3C" w:rsidRDefault="00251536" w:rsidP="005D4A3C">
      <w:pPr>
        <w:spacing w:line="259" w:lineRule="auto"/>
        <w:rPr>
          <w:rFonts w:eastAsiaTheme="majorEastAsia"/>
          <w:b/>
          <w:color w:val="2E74B5" w:themeColor="accent5" w:themeShade="BF"/>
          <w:szCs w:val="24"/>
        </w:rPr>
      </w:pPr>
      <w:bookmarkStart w:id="60" w:name="_Toc524527563"/>
      <w:bookmarkStart w:id="61" w:name="_Toc20039357"/>
      <w:bookmarkStart w:id="62" w:name="_Toc54954308"/>
      <w:r>
        <w:rPr>
          <w:rStyle w:val="Heading3Char"/>
        </w:rPr>
        <w:t xml:space="preserve">Evidence of Progress: </w:t>
      </w:r>
      <w:r w:rsidR="002C3584" w:rsidRPr="009F55CA">
        <w:rPr>
          <w:rStyle w:val="Heading3Char"/>
        </w:rPr>
        <w:t>Tier 1</w:t>
      </w:r>
      <w:bookmarkEnd w:id="60"/>
      <w:bookmarkEnd w:id="61"/>
      <w:bookmarkEnd w:id="62"/>
      <w:r w:rsidR="006E6B32" w:rsidRPr="009F55CA">
        <w:t xml:space="preserve"> </w:t>
      </w:r>
    </w:p>
    <w:p w14:paraId="3B1A3980" w14:textId="005BE82B" w:rsidR="00E52379" w:rsidRDefault="001E57AB" w:rsidP="005822E4">
      <w:r>
        <w:t xml:space="preserve">Tier 1 </w:t>
      </w:r>
      <w:r w:rsidR="006E6B32" w:rsidRPr="00BC5D45">
        <w:t xml:space="preserve">support is </w:t>
      </w:r>
      <w:r w:rsidR="009D1363">
        <w:t>for</w:t>
      </w:r>
      <w:r w:rsidR="006E6B32" w:rsidRPr="00BC5D45">
        <w:t xml:space="preserve"> </w:t>
      </w:r>
      <w:r w:rsidR="00E32E54">
        <w:t>districts and community schools</w:t>
      </w:r>
      <w:r w:rsidR="006E6B32" w:rsidRPr="00BC5D45">
        <w:t xml:space="preserve"> </w:t>
      </w:r>
      <w:r w:rsidR="009D1363">
        <w:t>that are</w:t>
      </w:r>
      <w:r w:rsidR="006E6B32" w:rsidRPr="00BC5D45">
        <w:t xml:space="preserve"> above the 1</w:t>
      </w:r>
      <w:r w:rsidR="005D4A3C">
        <w:t>.0</w:t>
      </w:r>
      <w:r w:rsidR="006E6B32" w:rsidRPr="00BC5D45">
        <w:t xml:space="preserve"> percent participation threshold</w:t>
      </w:r>
      <w:r w:rsidR="00470480">
        <w:t>,</w:t>
      </w:r>
      <w:r w:rsidR="006E6B32" w:rsidRPr="00BC5D45">
        <w:t xml:space="preserve"> as well as any district</w:t>
      </w:r>
      <w:r w:rsidR="008B4075">
        <w:t>s or community schools</w:t>
      </w:r>
      <w:r w:rsidR="006E6B32" w:rsidRPr="00BC5D45">
        <w:t xml:space="preserve"> seeking </w:t>
      </w:r>
      <w:r w:rsidR="00A74119">
        <w:t>assistance</w:t>
      </w:r>
      <w:r w:rsidR="008E62DD">
        <w:t xml:space="preserve"> with alternate assessment participation</w:t>
      </w:r>
      <w:r w:rsidR="00A74119">
        <w:t>.</w:t>
      </w:r>
      <w:r w:rsidR="00794D8B">
        <w:t xml:space="preserve"> </w:t>
      </w:r>
    </w:p>
    <w:p w14:paraId="55D32910" w14:textId="1F570BBB" w:rsidR="002C3584" w:rsidRDefault="00794D8B" w:rsidP="005822E4">
      <w:r>
        <w:t xml:space="preserve">The Department </w:t>
      </w:r>
      <w:r w:rsidR="00E52379">
        <w:t>provided</w:t>
      </w:r>
      <w:r>
        <w:t xml:space="preserve"> technical assistance and resources as outlined in the </w:t>
      </w:r>
      <w:r w:rsidR="00002101">
        <w:t>2020-2021</w:t>
      </w:r>
      <w:r w:rsidR="00544EB2">
        <w:t xml:space="preserve"> </w:t>
      </w:r>
      <w:r>
        <w:t>waiver</w:t>
      </w:r>
      <w:r w:rsidR="008B4075">
        <w:t xml:space="preserve">. </w:t>
      </w:r>
      <w:r w:rsidR="00AD3829">
        <w:t>Evidence of i</w:t>
      </w:r>
      <w:r w:rsidR="008B4075">
        <w:t xml:space="preserve">mplementation </w:t>
      </w:r>
      <w:r w:rsidR="00AD3829">
        <w:t xml:space="preserve">for </w:t>
      </w:r>
      <w:r w:rsidR="00DE6A17">
        <w:t xml:space="preserve">each action step </w:t>
      </w:r>
      <w:r w:rsidR="00AD3829">
        <w:t xml:space="preserve">is listed in </w:t>
      </w:r>
      <w:r w:rsidR="00092DEB">
        <w:t>Table 7</w:t>
      </w:r>
      <w:r w:rsidR="00AD3829">
        <w:t xml:space="preserve"> below</w:t>
      </w:r>
      <w:r w:rsidR="00DE6A17">
        <w:t>.</w:t>
      </w:r>
      <w:r w:rsidR="00AD3829">
        <w:t xml:space="preserve"> </w:t>
      </w:r>
      <w:r w:rsidR="00DE6A17">
        <w:t xml:space="preserve">Some of the sample documents referenced are available via </w:t>
      </w:r>
      <w:r w:rsidR="00AD3829">
        <w:t xml:space="preserve">web-based links </w:t>
      </w:r>
      <w:r w:rsidR="00DE6A17">
        <w:t xml:space="preserve">or </w:t>
      </w:r>
      <w:r w:rsidR="00470480">
        <w:t>listed</w:t>
      </w:r>
      <w:r w:rsidR="00DE6A17">
        <w:t xml:space="preserve"> </w:t>
      </w:r>
      <w:r w:rsidR="00AD3829">
        <w:t xml:space="preserve">in the </w:t>
      </w:r>
      <w:r w:rsidR="00CD522C">
        <w:t xml:space="preserve">appendices </w:t>
      </w:r>
      <w:r w:rsidR="00DE6A17">
        <w:t>(marked with an asterisk)</w:t>
      </w:r>
      <w:r w:rsidR="00092DEB">
        <w:t>.</w:t>
      </w:r>
    </w:p>
    <w:p w14:paraId="5D8E6297" w14:textId="77777777" w:rsidR="00B14A1A" w:rsidRDefault="00B14A1A" w:rsidP="005822E4"/>
    <w:p w14:paraId="618AEF82" w14:textId="65B98607" w:rsidR="00DE6A17" w:rsidRPr="00B3467F" w:rsidRDefault="00DE6A17" w:rsidP="00DE6A17">
      <w:pPr>
        <w:rPr>
          <w:b/>
        </w:rPr>
      </w:pPr>
      <w:r w:rsidRPr="00DE6A17">
        <w:rPr>
          <w:b/>
        </w:rPr>
        <w:lastRenderedPageBreak/>
        <w:t>T</w:t>
      </w:r>
      <w:r w:rsidR="00990B29">
        <w:rPr>
          <w:b/>
        </w:rPr>
        <w:t>able</w:t>
      </w:r>
      <w:r w:rsidRPr="00DE6A17">
        <w:rPr>
          <w:b/>
        </w:rPr>
        <w:t xml:space="preserve"> </w:t>
      </w:r>
      <w:r w:rsidR="003E4E55">
        <w:rPr>
          <w:b/>
        </w:rPr>
        <w:t>7</w:t>
      </w:r>
      <w:r w:rsidRPr="00DE6A17">
        <w:rPr>
          <w:b/>
        </w:rPr>
        <w:t>: Evidence of Tier 1 Progress 20</w:t>
      </w:r>
      <w:r w:rsidR="00786798">
        <w:rPr>
          <w:b/>
        </w:rPr>
        <w:t>20</w:t>
      </w:r>
      <w:r w:rsidR="003E4E55">
        <w:rPr>
          <w:b/>
        </w:rPr>
        <w:t>-202</w:t>
      </w:r>
      <w:r w:rsidR="00786798">
        <w:rPr>
          <w:b/>
        </w:rPr>
        <w:t>1</w:t>
      </w:r>
    </w:p>
    <w:tbl>
      <w:tblPr>
        <w:tblW w:w="5000" w:type="pct"/>
        <w:tblLayout w:type="fixed"/>
        <w:tblLook w:val="04A0" w:firstRow="1" w:lastRow="0" w:firstColumn="1" w:lastColumn="0" w:noHBand="0" w:noVBand="1"/>
        <w:tblCaption w:val="Evidence of Tier 1 Progress"/>
        <w:tblDescription w:val="This table includes planned action steps and evidence of implementation of these steps."/>
      </w:tblPr>
      <w:tblGrid>
        <w:gridCol w:w="4495"/>
        <w:gridCol w:w="6295"/>
      </w:tblGrid>
      <w:tr w:rsidR="0065066D" w:rsidRPr="0062190B" w14:paraId="3B87B054" w14:textId="77777777" w:rsidTr="004F1C13">
        <w:trPr>
          <w:trHeight w:val="517"/>
          <w:tblHeader/>
        </w:trPr>
        <w:tc>
          <w:tcPr>
            <w:tcW w:w="2083"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4F10ADC" w14:textId="76385EC6" w:rsidR="0065066D" w:rsidRPr="00DE6A17" w:rsidRDefault="0065066D" w:rsidP="00512B9B">
            <w:pPr>
              <w:spacing w:after="0"/>
              <w:jc w:val="center"/>
              <w:rPr>
                <w:b/>
                <w:color w:val="000000" w:themeColor="text1"/>
              </w:rPr>
            </w:pPr>
            <w:bookmarkStart w:id="63" w:name="Evidence_Tier_1_Progress"/>
            <w:r w:rsidRPr="00DE6A17">
              <w:rPr>
                <w:b/>
                <w:color w:val="000000" w:themeColor="text1"/>
              </w:rPr>
              <w:t>Planned Action Steps</w:t>
            </w:r>
          </w:p>
        </w:tc>
        <w:tc>
          <w:tcPr>
            <w:tcW w:w="2917" w:type="pct"/>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55CD2EC2" w14:textId="1957A3D2" w:rsidR="0065066D" w:rsidRPr="00DE6A17" w:rsidRDefault="0065066D" w:rsidP="0065066D">
            <w:pPr>
              <w:spacing w:after="0"/>
              <w:jc w:val="center"/>
              <w:rPr>
                <w:b/>
                <w:color w:val="000000" w:themeColor="text1"/>
              </w:rPr>
            </w:pPr>
            <w:r w:rsidRPr="00DE6A17">
              <w:rPr>
                <w:b/>
                <w:color w:val="000000" w:themeColor="text1"/>
              </w:rPr>
              <w:t xml:space="preserve">Evidence of Implementation </w:t>
            </w:r>
            <w:r w:rsidR="00410968" w:rsidRPr="00F15CD3">
              <w:rPr>
                <w:b/>
                <w:color w:val="000000" w:themeColor="text1"/>
              </w:rPr>
              <w:t>2020-2021</w:t>
            </w:r>
          </w:p>
        </w:tc>
      </w:tr>
      <w:tr w:rsidR="00651AF1" w:rsidRPr="0062190B" w14:paraId="26C92371" w14:textId="77777777" w:rsidTr="004F1C13">
        <w:trPr>
          <w:trHeight w:val="2236"/>
        </w:trPr>
        <w:tc>
          <w:tcPr>
            <w:tcW w:w="2083" w:type="pct"/>
            <w:tcBorders>
              <w:top w:val="nil"/>
              <w:left w:val="single" w:sz="4" w:space="0" w:color="auto"/>
              <w:bottom w:val="single" w:sz="4" w:space="0" w:color="auto"/>
              <w:right w:val="single" w:sz="4" w:space="0" w:color="auto"/>
            </w:tcBorders>
            <w:shd w:val="clear" w:color="auto" w:fill="auto"/>
            <w:vAlign w:val="center"/>
            <w:hideMark/>
          </w:tcPr>
          <w:p w14:paraId="5F8456E9" w14:textId="6969B962" w:rsidR="00651AF1" w:rsidRPr="00F14C40" w:rsidRDefault="000B382A" w:rsidP="004F1C13">
            <w:pPr>
              <w:pStyle w:val="ListParagraph"/>
              <w:numPr>
                <w:ilvl w:val="0"/>
                <w:numId w:val="46"/>
              </w:numPr>
              <w:ind w:left="341"/>
            </w:pPr>
            <w:r w:rsidRPr="001C10EB">
              <w:t xml:space="preserve">The Department will </w:t>
            </w:r>
            <w:r w:rsidR="00B36FAC">
              <w:t>develop</w:t>
            </w:r>
            <w:r>
              <w:t xml:space="preserve"> professional development </w:t>
            </w:r>
            <w:r w:rsidR="00B36FAC">
              <w:t>resources</w:t>
            </w:r>
            <w:r w:rsidRPr="001C10EB">
              <w:t xml:space="preserve"> on</w:t>
            </w:r>
            <w:r>
              <w:t xml:space="preserve"> appropriate </w:t>
            </w:r>
            <w:r w:rsidR="00053FDF">
              <w:t>alternate assessment</w:t>
            </w:r>
            <w:r>
              <w:t xml:space="preserve"> </w:t>
            </w:r>
            <w:r w:rsidRPr="001C10EB">
              <w:t>participation</w:t>
            </w:r>
            <w:r>
              <w:t xml:space="preserve"> </w:t>
            </w:r>
            <w:r w:rsidR="002B4C5C">
              <w:t>and completion of required justification forms for exceeding 1</w:t>
            </w:r>
            <w:r w:rsidR="001F6FF5">
              <w:t>.0</w:t>
            </w:r>
            <w:r w:rsidR="002B4C5C">
              <w:t xml:space="preserve"> percent participation. </w:t>
            </w:r>
          </w:p>
        </w:tc>
        <w:tc>
          <w:tcPr>
            <w:tcW w:w="2917" w:type="pct"/>
            <w:tcBorders>
              <w:top w:val="nil"/>
              <w:left w:val="nil"/>
              <w:bottom w:val="single" w:sz="4" w:space="0" w:color="auto"/>
              <w:right w:val="single" w:sz="4" w:space="0" w:color="auto"/>
            </w:tcBorders>
            <w:shd w:val="clear" w:color="auto" w:fill="auto"/>
            <w:vAlign w:val="center"/>
            <w:hideMark/>
          </w:tcPr>
          <w:p w14:paraId="4AF3367B" w14:textId="50B74D0B" w:rsidR="00651AF1" w:rsidRPr="00286F5D" w:rsidRDefault="00286F5D" w:rsidP="004F1C13">
            <w:pPr>
              <w:pStyle w:val="ListParagraph"/>
              <w:numPr>
                <w:ilvl w:val="0"/>
                <w:numId w:val="7"/>
              </w:numPr>
              <w:ind w:left="340"/>
              <w:rPr>
                <w:rStyle w:val="Hyperlink"/>
              </w:rPr>
            </w:pPr>
            <w:r>
              <w:fldChar w:fldCharType="begin"/>
            </w:r>
            <w:r>
              <w:instrText xml:space="preserve"> HYPERLINK "https://oh-alt.portal.cambiumast.com/resources/general-resources/decision-framework-(flowchart)-for-alternate-assessment-participation-guidelines" </w:instrText>
            </w:r>
            <w:r>
              <w:fldChar w:fldCharType="separate"/>
            </w:r>
            <w:r w:rsidR="00651AF1" w:rsidRPr="00286F5D">
              <w:rPr>
                <w:rStyle w:val="Hyperlink"/>
              </w:rPr>
              <w:t>Decision Framework for Alternate Assessment Participation Guidelines</w:t>
            </w:r>
          </w:p>
          <w:p w14:paraId="06B6B3B0" w14:textId="532C7F24" w:rsidR="00AC6DFE" w:rsidRPr="00B95884" w:rsidRDefault="00286F5D" w:rsidP="004F1C13">
            <w:pPr>
              <w:pStyle w:val="ListParagraph"/>
              <w:numPr>
                <w:ilvl w:val="0"/>
                <w:numId w:val="7"/>
              </w:numPr>
              <w:ind w:left="340"/>
              <w:rPr>
                <w:rStyle w:val="Hyperlink"/>
              </w:rPr>
            </w:pPr>
            <w:r>
              <w:fldChar w:fldCharType="end"/>
            </w:r>
            <w:r w:rsidR="00B95884">
              <w:fldChar w:fldCharType="begin"/>
            </w:r>
            <w:r w:rsidR="00B95884">
              <w:instrText xml:space="preserve"> HYPERLINK "https://oh-alt.portal.cambiumast.com/resources/general-resources/aascd-participation-decision-making-tool" </w:instrText>
            </w:r>
            <w:r w:rsidR="00B95884">
              <w:fldChar w:fldCharType="separate"/>
            </w:r>
            <w:r w:rsidR="00AC6DFE" w:rsidRPr="00B95884">
              <w:rPr>
                <w:rStyle w:val="Hyperlink"/>
              </w:rPr>
              <w:t xml:space="preserve">Alternate Assessment </w:t>
            </w:r>
            <w:r w:rsidR="002A4454">
              <w:rPr>
                <w:rStyle w:val="Hyperlink"/>
              </w:rPr>
              <w:t xml:space="preserve">Participation </w:t>
            </w:r>
            <w:r w:rsidR="00AC6DFE" w:rsidRPr="00B95884">
              <w:rPr>
                <w:rStyle w:val="Hyperlink"/>
              </w:rPr>
              <w:t>Decision-</w:t>
            </w:r>
            <w:r w:rsidR="00B9229B">
              <w:rPr>
                <w:rStyle w:val="Hyperlink"/>
              </w:rPr>
              <w:t>M</w:t>
            </w:r>
            <w:r w:rsidR="00AC6DFE" w:rsidRPr="00B95884">
              <w:rPr>
                <w:rStyle w:val="Hyperlink"/>
              </w:rPr>
              <w:t xml:space="preserve">aking Tool </w:t>
            </w:r>
          </w:p>
          <w:p w14:paraId="080AE45F" w14:textId="1E4B1C66" w:rsidR="00AC6DFE" w:rsidRPr="00695517" w:rsidRDefault="00B95884" w:rsidP="004F1C13">
            <w:pPr>
              <w:pStyle w:val="ListParagraph"/>
              <w:numPr>
                <w:ilvl w:val="0"/>
                <w:numId w:val="8"/>
              </w:numPr>
              <w:ind w:left="340"/>
              <w:rPr>
                <w:rStyle w:val="Hyperlink"/>
              </w:rPr>
            </w:pPr>
            <w:r>
              <w:fldChar w:fldCharType="end"/>
            </w:r>
            <w:r w:rsidR="00695517">
              <w:fldChar w:fldCharType="begin"/>
            </w:r>
            <w:r w:rsidR="00695517">
              <w:instrText xml:space="preserve"> HYPERLINK "https://oh-alt.portal.cambiumast.com/resources/administration-manuals-,-a-,-guidance-documents/tam-and-sifpt/test-administration-manual/spring-2021-aascd-test-administration-manual" </w:instrText>
            </w:r>
            <w:r w:rsidR="00695517">
              <w:fldChar w:fldCharType="separate"/>
            </w:r>
            <w:r w:rsidR="00651AF1" w:rsidRPr="00695517">
              <w:rPr>
                <w:rStyle w:val="Hyperlink"/>
              </w:rPr>
              <w:t>Spring 20</w:t>
            </w:r>
            <w:r w:rsidR="00695517" w:rsidRPr="00695517">
              <w:rPr>
                <w:rStyle w:val="Hyperlink"/>
              </w:rPr>
              <w:t>20</w:t>
            </w:r>
            <w:r w:rsidR="00651AF1" w:rsidRPr="00695517">
              <w:rPr>
                <w:rStyle w:val="Hyperlink"/>
              </w:rPr>
              <w:t xml:space="preserve"> </w:t>
            </w:r>
            <w:r w:rsidR="00053FDF" w:rsidRPr="00695517">
              <w:rPr>
                <w:rStyle w:val="Hyperlink"/>
              </w:rPr>
              <w:t>Alternate Assessment</w:t>
            </w:r>
            <w:r w:rsidR="00651AF1" w:rsidRPr="00695517">
              <w:rPr>
                <w:rStyle w:val="Hyperlink"/>
              </w:rPr>
              <w:t xml:space="preserve"> Directions for Administration Manual</w:t>
            </w:r>
            <w:r w:rsidR="00AC6DFE" w:rsidRPr="00695517">
              <w:rPr>
                <w:rStyle w:val="Hyperlink"/>
              </w:rPr>
              <w:t xml:space="preserve"> </w:t>
            </w:r>
          </w:p>
          <w:p w14:paraId="4D393593" w14:textId="3975AD79" w:rsidR="00651AF1" w:rsidRPr="0062190B" w:rsidRDefault="00695517" w:rsidP="004F1C13">
            <w:pPr>
              <w:pStyle w:val="ListParagraph"/>
              <w:numPr>
                <w:ilvl w:val="0"/>
                <w:numId w:val="7"/>
              </w:numPr>
              <w:ind w:left="340"/>
            </w:pPr>
            <w:r>
              <w:fldChar w:fldCharType="end"/>
            </w:r>
            <w:hyperlink r:id="rId31" w:history="1">
              <w:r w:rsidR="00AC6DFE" w:rsidRPr="00DF32F3">
                <w:rPr>
                  <w:rStyle w:val="Hyperlink"/>
                </w:rPr>
                <w:t>Online T</w:t>
              </w:r>
              <w:r w:rsidR="00DF32F3">
                <w:rPr>
                  <w:rStyle w:val="Hyperlink"/>
                </w:rPr>
                <w:t>est Administration</w:t>
              </w:r>
              <w:r w:rsidR="00AC6DFE" w:rsidRPr="00DF32F3">
                <w:rPr>
                  <w:rStyle w:val="Hyperlink"/>
                </w:rPr>
                <w:t xml:space="preserve"> Certification </w:t>
              </w:r>
            </w:hyperlink>
          </w:p>
        </w:tc>
      </w:tr>
      <w:tr w:rsidR="00651AF1" w:rsidRPr="0062190B" w14:paraId="76C9FA2E" w14:textId="77777777" w:rsidTr="004F1C13">
        <w:trPr>
          <w:trHeight w:val="1183"/>
        </w:trPr>
        <w:tc>
          <w:tcPr>
            <w:tcW w:w="2083" w:type="pct"/>
            <w:tcBorders>
              <w:top w:val="nil"/>
              <w:left w:val="single" w:sz="4" w:space="0" w:color="auto"/>
              <w:bottom w:val="single" w:sz="4" w:space="0" w:color="auto"/>
              <w:right w:val="single" w:sz="4" w:space="0" w:color="auto"/>
            </w:tcBorders>
            <w:shd w:val="clear" w:color="auto" w:fill="auto"/>
            <w:vAlign w:val="center"/>
            <w:hideMark/>
          </w:tcPr>
          <w:p w14:paraId="0D617421" w14:textId="4EB9E843" w:rsidR="00651AF1" w:rsidRPr="00F14C40" w:rsidRDefault="000B382A" w:rsidP="004F1C13">
            <w:pPr>
              <w:pStyle w:val="ListParagraph"/>
              <w:numPr>
                <w:ilvl w:val="0"/>
                <w:numId w:val="46"/>
              </w:numPr>
              <w:ind w:left="341"/>
            </w:pPr>
            <w:r w:rsidRPr="00E74801">
              <w:rPr>
                <w:color w:val="000000" w:themeColor="text1"/>
              </w:rPr>
              <w:t xml:space="preserve">The Department will </w:t>
            </w:r>
            <w:r w:rsidR="00053FDF" w:rsidRPr="00E74801">
              <w:rPr>
                <w:color w:val="000000" w:themeColor="text1"/>
              </w:rPr>
              <w:t>present</w:t>
            </w:r>
            <w:r w:rsidRPr="00E74801">
              <w:rPr>
                <w:color w:val="000000" w:themeColor="text1"/>
              </w:rPr>
              <w:t xml:space="preserve"> at multiple state</w:t>
            </w:r>
            <w:r w:rsidRPr="00A10C54">
              <w:rPr>
                <w:color w:val="000000" w:themeColor="text1"/>
              </w:rPr>
              <w:t xml:space="preserve">wide </w:t>
            </w:r>
            <w:r w:rsidR="002B4C5C" w:rsidRPr="00A10C54">
              <w:rPr>
                <w:color w:val="000000" w:themeColor="text1"/>
              </w:rPr>
              <w:t xml:space="preserve">conferences and other </w:t>
            </w:r>
            <w:r w:rsidRPr="00A10C54">
              <w:rPr>
                <w:color w:val="000000" w:themeColor="text1"/>
              </w:rPr>
              <w:t xml:space="preserve">events for teachers and administrators. </w:t>
            </w:r>
          </w:p>
        </w:tc>
        <w:tc>
          <w:tcPr>
            <w:tcW w:w="2917" w:type="pct"/>
            <w:tcBorders>
              <w:top w:val="nil"/>
              <w:left w:val="nil"/>
              <w:bottom w:val="single" w:sz="4" w:space="0" w:color="auto"/>
              <w:right w:val="single" w:sz="4" w:space="0" w:color="auto"/>
            </w:tcBorders>
            <w:shd w:val="clear" w:color="auto" w:fill="auto"/>
            <w:vAlign w:val="center"/>
            <w:hideMark/>
          </w:tcPr>
          <w:p w14:paraId="57FBED43" w14:textId="139497C4" w:rsidR="002A329C" w:rsidRPr="0062190B" w:rsidRDefault="00463E79" w:rsidP="004F1C13">
            <w:pPr>
              <w:pStyle w:val="ListParagraph"/>
              <w:numPr>
                <w:ilvl w:val="0"/>
                <w:numId w:val="7"/>
              </w:numPr>
              <w:ind w:left="340"/>
            </w:pPr>
            <w:r>
              <w:t>State Support Team weekly meetings</w:t>
            </w:r>
            <w:r w:rsidR="002A329C">
              <w:t>*</w:t>
            </w:r>
          </w:p>
        </w:tc>
      </w:tr>
      <w:tr w:rsidR="00651AF1" w:rsidRPr="0062190B" w14:paraId="4016BEE1" w14:textId="77777777" w:rsidTr="004F1C13">
        <w:trPr>
          <w:trHeight w:val="1831"/>
        </w:trPr>
        <w:tc>
          <w:tcPr>
            <w:tcW w:w="2083" w:type="pct"/>
            <w:tcBorders>
              <w:top w:val="nil"/>
              <w:left w:val="single" w:sz="4" w:space="0" w:color="auto"/>
              <w:bottom w:val="single" w:sz="4" w:space="0" w:color="auto"/>
              <w:right w:val="single" w:sz="4" w:space="0" w:color="auto"/>
            </w:tcBorders>
            <w:shd w:val="clear" w:color="auto" w:fill="auto"/>
            <w:vAlign w:val="center"/>
            <w:hideMark/>
          </w:tcPr>
          <w:p w14:paraId="724A45A8" w14:textId="151843CF" w:rsidR="00651AF1" w:rsidRPr="00F14C40" w:rsidRDefault="002B4C5C" w:rsidP="004F1C13">
            <w:pPr>
              <w:pStyle w:val="ListParagraph"/>
              <w:numPr>
                <w:ilvl w:val="0"/>
                <w:numId w:val="46"/>
              </w:numPr>
              <w:ind w:left="341"/>
            </w:pPr>
            <w:r>
              <w:t>S</w:t>
            </w:r>
            <w:r w:rsidR="00713F07">
              <w:t>tate support team</w:t>
            </w:r>
            <w:r w:rsidR="00544EB2">
              <w:t>s</w:t>
            </w:r>
            <w:r w:rsidR="00544EB2" w:rsidRPr="00A74119">
              <w:t xml:space="preserve"> will continue</w:t>
            </w:r>
            <w:r w:rsidR="00544EB2">
              <w:t xml:space="preserve"> to provide</w:t>
            </w:r>
            <w:r w:rsidR="00544EB2" w:rsidRPr="00A74119">
              <w:t xml:space="preserve"> </w:t>
            </w:r>
            <w:r w:rsidR="00544EB2">
              <w:t xml:space="preserve">training </w:t>
            </w:r>
            <w:r w:rsidR="00544EB2" w:rsidRPr="001C10EB">
              <w:t xml:space="preserve">on decision-making </w:t>
            </w:r>
            <w:r w:rsidR="00544EB2">
              <w:t xml:space="preserve">processes for </w:t>
            </w:r>
            <w:r w:rsidR="00880DA1">
              <w:t>Alternate Assessment for Students with</w:t>
            </w:r>
            <w:r w:rsidR="00D36F83">
              <w:t xml:space="preserve"> the Most</w:t>
            </w:r>
            <w:r w:rsidR="00880DA1">
              <w:t xml:space="preserve"> Significant Cognitive Disabilities</w:t>
            </w:r>
            <w:r w:rsidR="00544EB2">
              <w:t xml:space="preserve"> </w:t>
            </w:r>
            <w:r w:rsidR="00544EB2" w:rsidRPr="001C10EB">
              <w:t>participation</w:t>
            </w:r>
            <w:r w:rsidR="00651AF1">
              <w:t>.</w:t>
            </w:r>
          </w:p>
        </w:tc>
        <w:tc>
          <w:tcPr>
            <w:tcW w:w="2917" w:type="pct"/>
            <w:tcBorders>
              <w:top w:val="nil"/>
              <w:left w:val="nil"/>
              <w:bottom w:val="single" w:sz="4" w:space="0" w:color="auto"/>
              <w:right w:val="single" w:sz="4" w:space="0" w:color="auto"/>
            </w:tcBorders>
            <w:shd w:val="clear" w:color="auto" w:fill="auto"/>
            <w:vAlign w:val="center"/>
            <w:hideMark/>
          </w:tcPr>
          <w:p w14:paraId="0FE70759" w14:textId="77777777" w:rsidR="001104CF" w:rsidRDefault="001104CF" w:rsidP="004F1C13">
            <w:pPr>
              <w:pStyle w:val="ListParagraph"/>
              <w:numPr>
                <w:ilvl w:val="0"/>
                <w:numId w:val="22"/>
              </w:numPr>
              <w:ind w:left="340"/>
            </w:pPr>
            <w:r>
              <w:t xml:space="preserve">Alternate assessment participation rates added to </w:t>
            </w:r>
            <w:r w:rsidRPr="0062190B">
              <w:t>Special Education Profile</w:t>
            </w:r>
            <w:r>
              <w:t>s and Ratings*</w:t>
            </w:r>
          </w:p>
          <w:p w14:paraId="2D11A1B2" w14:textId="6ED251C3" w:rsidR="001104CF" w:rsidRDefault="001104CF" w:rsidP="004F1C13">
            <w:pPr>
              <w:pStyle w:val="ListParagraph"/>
              <w:numPr>
                <w:ilvl w:val="0"/>
                <w:numId w:val="22"/>
              </w:numPr>
              <w:ind w:left="340"/>
            </w:pPr>
            <w:r>
              <w:t>Ohio Statewide Testing and Students with Disabilities Advisory Committee Meetings*</w:t>
            </w:r>
            <w:r w:rsidR="00FD593A">
              <w:t xml:space="preserve"> </w:t>
            </w:r>
          </w:p>
          <w:p w14:paraId="3FEB37B7" w14:textId="77777777" w:rsidR="004D2763" w:rsidRPr="00286F5D" w:rsidRDefault="004D2763" w:rsidP="004F1C13">
            <w:pPr>
              <w:pStyle w:val="ListParagraph"/>
              <w:numPr>
                <w:ilvl w:val="0"/>
                <w:numId w:val="7"/>
              </w:numPr>
              <w:ind w:left="340"/>
              <w:rPr>
                <w:rStyle w:val="Hyperlink"/>
              </w:rPr>
            </w:pPr>
            <w:r>
              <w:fldChar w:fldCharType="begin"/>
            </w:r>
            <w:r>
              <w:instrText xml:space="preserve"> HYPERLINK "https://oh-alt.portal.cambiumast.com/resources/general-resources/decision-framework-(flowchart)-for-alternate-assessment-participation-guidelines" </w:instrText>
            </w:r>
            <w:r>
              <w:fldChar w:fldCharType="separate"/>
            </w:r>
            <w:r w:rsidRPr="00286F5D">
              <w:rPr>
                <w:rStyle w:val="Hyperlink"/>
              </w:rPr>
              <w:t>Decision Framework for Alternate Assessment Participation Guidelines</w:t>
            </w:r>
          </w:p>
          <w:p w14:paraId="19A3C636" w14:textId="177E4CD8" w:rsidR="00D02EC0" w:rsidRDefault="004D2763" w:rsidP="004F1C13">
            <w:pPr>
              <w:pStyle w:val="ListParagraph"/>
              <w:numPr>
                <w:ilvl w:val="0"/>
                <w:numId w:val="22"/>
              </w:numPr>
              <w:ind w:left="340"/>
            </w:pPr>
            <w:r>
              <w:fldChar w:fldCharType="end"/>
            </w:r>
            <w:r w:rsidR="000719EE">
              <w:t>Family Resource on</w:t>
            </w:r>
            <w:r w:rsidR="00D02EC0" w:rsidRPr="002A6812">
              <w:t xml:space="preserve"> Alternate Assessment</w:t>
            </w:r>
            <w:r w:rsidR="001B597A">
              <w:t xml:space="preserve"> </w:t>
            </w:r>
            <w:r w:rsidR="001824CF">
              <w:t>(</w:t>
            </w:r>
            <w:hyperlink r:id="rId32" w:history="1">
              <w:r w:rsidR="001B597A" w:rsidRPr="002A6812">
                <w:rPr>
                  <w:rStyle w:val="Hyperlink"/>
                </w:rPr>
                <w:t>English</w:t>
              </w:r>
            </w:hyperlink>
            <w:r w:rsidR="001B597A">
              <w:t xml:space="preserve"> </w:t>
            </w:r>
            <w:r w:rsidR="00C72352">
              <w:t xml:space="preserve">and </w:t>
            </w:r>
            <w:hyperlink r:id="rId33" w:history="1">
              <w:r w:rsidR="001B597A" w:rsidRPr="002D3486">
                <w:rPr>
                  <w:rStyle w:val="Hyperlink"/>
                </w:rPr>
                <w:t>Spanish</w:t>
              </w:r>
            </w:hyperlink>
            <w:r w:rsidR="001824CF">
              <w:rPr>
                <w:rStyle w:val="Hyperlink"/>
              </w:rPr>
              <w:t>)</w:t>
            </w:r>
          </w:p>
          <w:p w14:paraId="2C15B827" w14:textId="7CC9BA33" w:rsidR="00D02EC0" w:rsidRDefault="000719EE" w:rsidP="004F1C13">
            <w:pPr>
              <w:pStyle w:val="ListParagraph"/>
              <w:numPr>
                <w:ilvl w:val="0"/>
                <w:numId w:val="22"/>
              </w:numPr>
              <w:ind w:left="340"/>
            </w:pPr>
            <w:r>
              <w:t>Family Resource on Participation</w:t>
            </w:r>
            <w:r w:rsidR="006F437B">
              <w:t xml:space="preserve"> </w:t>
            </w:r>
            <w:r w:rsidR="001824CF">
              <w:t>(</w:t>
            </w:r>
            <w:hyperlink r:id="rId34" w:history="1">
              <w:r w:rsidR="006F437B" w:rsidRPr="006F437B">
                <w:rPr>
                  <w:rStyle w:val="Hyperlink"/>
                </w:rPr>
                <w:t>English</w:t>
              </w:r>
            </w:hyperlink>
            <w:r w:rsidR="006F437B">
              <w:t xml:space="preserve"> </w:t>
            </w:r>
            <w:r w:rsidR="00C72352">
              <w:t>and</w:t>
            </w:r>
            <w:r w:rsidR="006F437B">
              <w:t xml:space="preserve"> </w:t>
            </w:r>
            <w:hyperlink r:id="rId35" w:history="1">
              <w:r w:rsidR="006F437B" w:rsidRPr="002146B2">
                <w:rPr>
                  <w:rStyle w:val="Hyperlink"/>
                </w:rPr>
                <w:t>Spanish</w:t>
              </w:r>
            </w:hyperlink>
            <w:r w:rsidR="001824CF">
              <w:rPr>
                <w:rStyle w:val="Hyperlink"/>
              </w:rPr>
              <w:t>)</w:t>
            </w:r>
          </w:p>
          <w:p w14:paraId="06DE3910" w14:textId="63E63CE4" w:rsidR="002146B2" w:rsidRDefault="002146B2" w:rsidP="004F1C13">
            <w:pPr>
              <w:pStyle w:val="ListParagraph"/>
              <w:numPr>
                <w:ilvl w:val="0"/>
                <w:numId w:val="22"/>
              </w:numPr>
              <w:ind w:left="340"/>
            </w:pPr>
            <w:r>
              <w:t xml:space="preserve">Family Resource on Extended Standards and Instruction </w:t>
            </w:r>
            <w:hyperlink r:id="rId36" w:history="1">
              <w:r w:rsidR="001824CF">
                <w:rPr>
                  <w:rStyle w:val="Hyperlink"/>
                </w:rPr>
                <w:t>(</w:t>
              </w:r>
              <w:r w:rsidRPr="00D15DCE">
                <w:rPr>
                  <w:rStyle w:val="Hyperlink"/>
                </w:rPr>
                <w:t xml:space="preserve">English </w:t>
              </w:r>
            </w:hyperlink>
            <w:r w:rsidR="00B20466">
              <w:t>and</w:t>
            </w:r>
            <w:r w:rsidR="00B20466" w:rsidRPr="00B20466">
              <w:t xml:space="preserve"> </w:t>
            </w:r>
            <w:hyperlink r:id="rId37" w:history="1">
              <w:r w:rsidRPr="00D15DCE">
                <w:rPr>
                  <w:rStyle w:val="Hyperlink"/>
                </w:rPr>
                <w:t>Spanish</w:t>
              </w:r>
            </w:hyperlink>
            <w:r w:rsidR="001824CF">
              <w:rPr>
                <w:rStyle w:val="Hyperlink"/>
              </w:rPr>
              <w:t>)</w:t>
            </w:r>
          </w:p>
          <w:p w14:paraId="296FC64A" w14:textId="727DC1D5" w:rsidR="00651AF1" w:rsidRPr="0062190B" w:rsidRDefault="00A7758B" w:rsidP="004F1C13">
            <w:pPr>
              <w:pStyle w:val="ListParagraph"/>
              <w:numPr>
                <w:ilvl w:val="0"/>
                <w:numId w:val="22"/>
              </w:numPr>
              <w:ind w:left="340"/>
            </w:pPr>
            <w:hyperlink r:id="rId38" w:history="1">
              <w:r w:rsidR="00CD6443" w:rsidRPr="00A93142">
                <w:rPr>
                  <w:rStyle w:val="Hyperlink"/>
                </w:rPr>
                <w:t>Online Test Administrat</w:t>
              </w:r>
              <w:r w:rsidR="00A93142" w:rsidRPr="00A93142">
                <w:rPr>
                  <w:rStyle w:val="Hyperlink"/>
                </w:rPr>
                <w:t>ion Certification</w:t>
              </w:r>
            </w:hyperlink>
          </w:p>
        </w:tc>
      </w:tr>
      <w:tr w:rsidR="00651AF1" w:rsidRPr="0062190B" w14:paraId="6B706EB1" w14:textId="77777777" w:rsidTr="004F1C13">
        <w:trPr>
          <w:trHeight w:val="1597"/>
        </w:trPr>
        <w:tc>
          <w:tcPr>
            <w:tcW w:w="2083" w:type="pct"/>
            <w:tcBorders>
              <w:top w:val="nil"/>
              <w:left w:val="single" w:sz="4" w:space="0" w:color="auto"/>
              <w:bottom w:val="single" w:sz="4" w:space="0" w:color="auto"/>
              <w:right w:val="single" w:sz="4" w:space="0" w:color="auto"/>
            </w:tcBorders>
            <w:shd w:val="clear" w:color="auto" w:fill="auto"/>
            <w:vAlign w:val="center"/>
            <w:hideMark/>
          </w:tcPr>
          <w:p w14:paraId="43A587D8" w14:textId="128ACCC6" w:rsidR="00651AF1" w:rsidRPr="00F14C40" w:rsidRDefault="00544EB2" w:rsidP="004F1C13">
            <w:pPr>
              <w:pStyle w:val="ListParagraph"/>
              <w:numPr>
                <w:ilvl w:val="0"/>
                <w:numId w:val="46"/>
              </w:numPr>
              <w:ind w:left="341"/>
            </w:pPr>
            <w:r>
              <w:t>The Department will provide</w:t>
            </w:r>
            <w:r w:rsidRPr="008E7E16">
              <w:t xml:space="preserve"> resources, including data analysis tools, to address disproportionality in assignment of</w:t>
            </w:r>
            <w:r>
              <w:t xml:space="preserve"> student subgroups to the </w:t>
            </w:r>
            <w:r w:rsidR="00880DA1">
              <w:t xml:space="preserve">Alternate Assessment for Students with </w:t>
            </w:r>
            <w:r w:rsidR="00A93142">
              <w:t xml:space="preserve">the Most </w:t>
            </w:r>
            <w:r w:rsidR="00880DA1">
              <w:t>Significant Cognitive Disabilities</w:t>
            </w:r>
            <w:r>
              <w:t>.</w:t>
            </w:r>
          </w:p>
        </w:tc>
        <w:tc>
          <w:tcPr>
            <w:tcW w:w="2917" w:type="pct"/>
            <w:tcBorders>
              <w:top w:val="nil"/>
              <w:left w:val="nil"/>
              <w:bottom w:val="single" w:sz="4" w:space="0" w:color="auto"/>
              <w:right w:val="single" w:sz="4" w:space="0" w:color="auto"/>
            </w:tcBorders>
            <w:shd w:val="clear" w:color="auto" w:fill="auto"/>
            <w:vAlign w:val="center"/>
            <w:hideMark/>
          </w:tcPr>
          <w:p w14:paraId="02CB22C9" w14:textId="77777777" w:rsidR="001104CF" w:rsidRDefault="001104CF" w:rsidP="004F1C13">
            <w:pPr>
              <w:pStyle w:val="ListParagraph"/>
              <w:numPr>
                <w:ilvl w:val="0"/>
                <w:numId w:val="23"/>
              </w:numPr>
              <w:ind w:left="340"/>
            </w:pPr>
            <w:r>
              <w:t xml:space="preserve">Alternate assessment participation rates added to </w:t>
            </w:r>
            <w:r w:rsidRPr="0062190B">
              <w:t>Special Education Profile</w:t>
            </w:r>
            <w:r>
              <w:t>s and Ratings*</w:t>
            </w:r>
          </w:p>
          <w:p w14:paraId="53971D67" w14:textId="1F158376" w:rsidR="00651AF1" w:rsidRPr="0062190B" w:rsidRDefault="00651AF1" w:rsidP="004F1C13">
            <w:pPr>
              <w:pStyle w:val="ListParagraph"/>
              <w:numPr>
                <w:ilvl w:val="0"/>
                <w:numId w:val="23"/>
              </w:numPr>
              <w:ind w:left="340"/>
            </w:pPr>
            <w:r w:rsidRPr="0062190B">
              <w:t>Monthly</w:t>
            </w:r>
            <w:r>
              <w:t xml:space="preserve"> </w:t>
            </w:r>
            <w:r w:rsidR="00713F07">
              <w:t>state support team</w:t>
            </w:r>
            <w:r w:rsidRPr="0062190B">
              <w:t xml:space="preserve"> Directors’ Meetings</w:t>
            </w:r>
            <w:r>
              <w:t>*</w:t>
            </w:r>
          </w:p>
          <w:p w14:paraId="0B057544" w14:textId="0DF26F9A" w:rsidR="00651AF1" w:rsidRPr="001364BA" w:rsidRDefault="00A93142" w:rsidP="004F1C13">
            <w:pPr>
              <w:pStyle w:val="ListParagraph"/>
              <w:numPr>
                <w:ilvl w:val="0"/>
                <w:numId w:val="23"/>
              </w:numPr>
              <w:ind w:left="340"/>
            </w:pPr>
            <w:r>
              <w:t>State Support Team weekly meetings*</w:t>
            </w:r>
          </w:p>
        </w:tc>
      </w:tr>
      <w:tr w:rsidR="001104CF" w:rsidRPr="0062190B" w14:paraId="4002E9FD" w14:textId="77777777" w:rsidTr="004F1C13">
        <w:trPr>
          <w:trHeight w:val="1282"/>
        </w:trPr>
        <w:tc>
          <w:tcPr>
            <w:tcW w:w="2083" w:type="pct"/>
            <w:tcBorders>
              <w:top w:val="nil"/>
              <w:left w:val="single" w:sz="4" w:space="0" w:color="auto"/>
              <w:bottom w:val="single" w:sz="4" w:space="0" w:color="auto"/>
              <w:right w:val="single" w:sz="4" w:space="0" w:color="auto"/>
            </w:tcBorders>
            <w:shd w:val="clear" w:color="auto" w:fill="auto"/>
            <w:vAlign w:val="center"/>
            <w:hideMark/>
          </w:tcPr>
          <w:p w14:paraId="535376F5" w14:textId="2284DAC9" w:rsidR="001104CF" w:rsidRPr="00F14C40" w:rsidRDefault="001104CF" w:rsidP="004F1C13">
            <w:pPr>
              <w:pStyle w:val="ListParagraph"/>
              <w:numPr>
                <w:ilvl w:val="0"/>
                <w:numId w:val="46"/>
              </w:numPr>
              <w:ind w:left="341"/>
            </w:pPr>
            <w:r w:rsidRPr="00A74119">
              <w:t xml:space="preserve">Parent and family engagement </w:t>
            </w:r>
            <w:r>
              <w:t>staff</w:t>
            </w:r>
            <w:r w:rsidRPr="00A74119">
              <w:t xml:space="preserve"> will work with </w:t>
            </w:r>
            <w:r>
              <w:t>districts and community schools</w:t>
            </w:r>
            <w:r w:rsidRPr="00A74119">
              <w:t xml:space="preserve"> to ensure families understand </w:t>
            </w:r>
            <w:r>
              <w:t xml:space="preserve">how IEP decisions about alternate assessment participation are appropriately made and </w:t>
            </w:r>
            <w:r w:rsidRPr="00A74119">
              <w:t xml:space="preserve">the implications of </w:t>
            </w:r>
            <w:r>
              <w:t>participation in</w:t>
            </w:r>
            <w:r w:rsidRPr="00A74119">
              <w:t xml:space="preserve"> the </w:t>
            </w:r>
            <w:r>
              <w:t>alternate assessment for students.</w:t>
            </w:r>
          </w:p>
        </w:tc>
        <w:tc>
          <w:tcPr>
            <w:tcW w:w="2917" w:type="pct"/>
            <w:tcBorders>
              <w:top w:val="nil"/>
              <w:left w:val="nil"/>
              <w:bottom w:val="single" w:sz="4" w:space="0" w:color="auto"/>
              <w:right w:val="single" w:sz="4" w:space="0" w:color="auto"/>
            </w:tcBorders>
            <w:shd w:val="clear" w:color="auto" w:fill="auto"/>
            <w:vAlign w:val="center"/>
            <w:hideMark/>
          </w:tcPr>
          <w:p w14:paraId="35091B51" w14:textId="5056CD02" w:rsidR="00AA0B7B" w:rsidRPr="0015364A" w:rsidRDefault="0015364A" w:rsidP="004F1C13">
            <w:pPr>
              <w:pStyle w:val="ListParagraph"/>
              <w:numPr>
                <w:ilvl w:val="0"/>
                <w:numId w:val="3"/>
              </w:numPr>
              <w:ind w:left="340"/>
              <w:rPr>
                <w:rStyle w:val="Hyperlink"/>
              </w:rPr>
            </w:pPr>
            <w:r>
              <w:rPr>
                <w:color w:val="0563C1" w:themeColor="hyperlink"/>
                <w:u w:val="single"/>
              </w:rPr>
              <w:fldChar w:fldCharType="begin"/>
            </w:r>
            <w:r>
              <w:rPr>
                <w:color w:val="0563C1" w:themeColor="hyperlink"/>
                <w:u w:val="single"/>
              </w:rPr>
              <w:instrText xml:space="preserve"> HYPERLINK "https://oh-alt.portal.cambiumast.com/resources/general-resources/decision-framework-(flowchart)-for-alternate-assessment-participation-guidelines" </w:instrText>
            </w:r>
            <w:r>
              <w:rPr>
                <w:color w:val="0563C1" w:themeColor="hyperlink"/>
                <w:u w:val="single"/>
              </w:rPr>
              <w:fldChar w:fldCharType="separate"/>
            </w:r>
            <w:r w:rsidR="008C3322" w:rsidRPr="0015364A">
              <w:rPr>
                <w:rStyle w:val="Hyperlink"/>
              </w:rPr>
              <w:t>Decision Framework (Flowchart) for Alternate Assessment Participation Guidelines</w:t>
            </w:r>
          </w:p>
          <w:p w14:paraId="403843AC" w14:textId="5D19B963" w:rsidR="001104CF" w:rsidRPr="00AA0B7B" w:rsidRDefault="0015364A" w:rsidP="004F1C13">
            <w:pPr>
              <w:pStyle w:val="ListParagraph"/>
              <w:numPr>
                <w:ilvl w:val="0"/>
                <w:numId w:val="3"/>
              </w:numPr>
              <w:ind w:left="340"/>
              <w:rPr>
                <w:color w:val="0563C1" w:themeColor="hyperlink"/>
                <w:u w:val="single"/>
              </w:rPr>
            </w:pPr>
            <w:r>
              <w:rPr>
                <w:color w:val="0563C1" w:themeColor="hyperlink"/>
                <w:u w:val="single"/>
              </w:rPr>
              <w:fldChar w:fldCharType="end"/>
            </w:r>
            <w:hyperlink r:id="rId39">
              <w:r w:rsidR="001104CF" w:rsidRPr="00AA0B7B">
                <w:rPr>
                  <w:color w:val="0563C1" w:themeColor="hyperlink"/>
                  <w:u w:val="single"/>
                </w:rPr>
                <w:t>Ohio Learning Standards-Extended</w:t>
              </w:r>
            </w:hyperlink>
          </w:p>
          <w:p w14:paraId="4F42A7A3" w14:textId="034AE9CC" w:rsidR="001104CF" w:rsidRPr="009C63DF" w:rsidRDefault="009C63DF" w:rsidP="004F1C13">
            <w:pPr>
              <w:pStyle w:val="ListParagraph"/>
              <w:numPr>
                <w:ilvl w:val="0"/>
                <w:numId w:val="6"/>
              </w:numPr>
              <w:ind w:left="340"/>
              <w:rPr>
                <w:rStyle w:val="Hyperlink"/>
              </w:rPr>
            </w:pPr>
            <w:r>
              <w:fldChar w:fldCharType="begin"/>
            </w:r>
            <w:r>
              <w:instrText xml:space="preserve"> HYPERLINK "https://oh-alt.portal.cambiumast.com/resources/administration-manuals-,-a-,-guidance-documents/tam-and-sifpt/test-administration-manual/spring-2021-aascd-test-administration-manual" </w:instrText>
            </w:r>
            <w:r>
              <w:fldChar w:fldCharType="separate"/>
            </w:r>
            <w:r w:rsidRPr="009C63DF">
              <w:rPr>
                <w:rStyle w:val="Hyperlink"/>
              </w:rPr>
              <w:t xml:space="preserve">Spring 2021 Alternate Assessment Test Administration Manual </w:t>
            </w:r>
          </w:p>
          <w:p w14:paraId="1DCFF3F6" w14:textId="534BD050" w:rsidR="00B571C1" w:rsidRPr="00DF047D" w:rsidRDefault="009C63DF" w:rsidP="004F1C13">
            <w:pPr>
              <w:pStyle w:val="ListParagraph"/>
              <w:numPr>
                <w:ilvl w:val="0"/>
                <w:numId w:val="6"/>
              </w:numPr>
              <w:ind w:left="340"/>
              <w:rPr>
                <w:rStyle w:val="Hyperlink"/>
                <w:color w:val="auto"/>
                <w:u w:val="none"/>
              </w:rPr>
            </w:pPr>
            <w:r>
              <w:fldChar w:fldCharType="end"/>
            </w:r>
            <w:hyperlink r:id="rId40" w:history="1">
              <w:r w:rsidR="00B571C1" w:rsidRPr="0096731E">
                <w:rPr>
                  <w:rStyle w:val="Hyperlink"/>
                </w:rPr>
                <w:t xml:space="preserve">Alternate Assessment Practice </w:t>
              </w:r>
              <w:r w:rsidR="0096731E" w:rsidRPr="0096731E">
                <w:rPr>
                  <w:rStyle w:val="Hyperlink"/>
                </w:rPr>
                <w:t>Site Guidance Document</w:t>
              </w:r>
            </w:hyperlink>
          </w:p>
          <w:p w14:paraId="1B55AF6F" w14:textId="3FE060BA" w:rsidR="00DF047D" w:rsidRDefault="00DF047D" w:rsidP="004F1C13">
            <w:pPr>
              <w:pStyle w:val="ListParagraph"/>
              <w:numPr>
                <w:ilvl w:val="0"/>
                <w:numId w:val="22"/>
              </w:numPr>
              <w:ind w:left="340"/>
            </w:pPr>
            <w:r>
              <w:t>Family Resource on</w:t>
            </w:r>
            <w:r w:rsidRPr="002A6812">
              <w:t xml:space="preserve"> Alternate Assessment</w:t>
            </w:r>
            <w:r>
              <w:t xml:space="preserve"> </w:t>
            </w:r>
            <w:r w:rsidR="00F631F7">
              <w:t>(</w:t>
            </w:r>
            <w:hyperlink r:id="rId41" w:history="1">
              <w:r w:rsidRPr="002A6812">
                <w:rPr>
                  <w:rStyle w:val="Hyperlink"/>
                </w:rPr>
                <w:t>English</w:t>
              </w:r>
            </w:hyperlink>
            <w:r>
              <w:t xml:space="preserve"> </w:t>
            </w:r>
            <w:hyperlink r:id="rId42" w:history="1">
              <w:r w:rsidRPr="002D3486">
                <w:rPr>
                  <w:rStyle w:val="Hyperlink"/>
                </w:rPr>
                <w:t>Spanish</w:t>
              </w:r>
            </w:hyperlink>
            <w:r w:rsidR="00F631F7">
              <w:rPr>
                <w:rStyle w:val="Hyperlink"/>
              </w:rPr>
              <w:t>)</w:t>
            </w:r>
          </w:p>
          <w:p w14:paraId="4137FE3B" w14:textId="615DB5A0" w:rsidR="00DF047D" w:rsidRDefault="00DF047D" w:rsidP="004F1C13">
            <w:pPr>
              <w:pStyle w:val="ListParagraph"/>
              <w:numPr>
                <w:ilvl w:val="0"/>
                <w:numId w:val="22"/>
              </w:numPr>
              <w:ind w:left="340"/>
            </w:pPr>
            <w:r>
              <w:t xml:space="preserve">Family Resource on Participation </w:t>
            </w:r>
            <w:r w:rsidR="00F631F7">
              <w:t>(</w:t>
            </w:r>
            <w:hyperlink r:id="rId43" w:history="1">
              <w:r w:rsidRPr="006F437B">
                <w:rPr>
                  <w:rStyle w:val="Hyperlink"/>
                </w:rPr>
                <w:t>English</w:t>
              </w:r>
            </w:hyperlink>
            <w:r>
              <w:t xml:space="preserve"> </w:t>
            </w:r>
            <w:r w:rsidR="00F631F7">
              <w:t>and</w:t>
            </w:r>
            <w:r>
              <w:t xml:space="preserve"> </w:t>
            </w:r>
            <w:hyperlink r:id="rId44" w:history="1">
              <w:r w:rsidRPr="002146B2">
                <w:rPr>
                  <w:rStyle w:val="Hyperlink"/>
                </w:rPr>
                <w:t>Spanish</w:t>
              </w:r>
            </w:hyperlink>
            <w:r w:rsidR="00F631F7">
              <w:rPr>
                <w:rStyle w:val="Hyperlink"/>
              </w:rPr>
              <w:t>)</w:t>
            </w:r>
          </w:p>
          <w:p w14:paraId="549DAD01" w14:textId="28A10B38" w:rsidR="00DF047D" w:rsidRPr="0062190B" w:rsidRDefault="00DF047D" w:rsidP="004F1C13">
            <w:pPr>
              <w:pStyle w:val="ListParagraph"/>
              <w:numPr>
                <w:ilvl w:val="0"/>
                <w:numId w:val="22"/>
              </w:numPr>
              <w:ind w:left="340"/>
            </w:pPr>
            <w:r>
              <w:t xml:space="preserve">Family Resource on Extended Standards and </w:t>
            </w:r>
            <w:r w:rsidR="00F631F7">
              <w:t xml:space="preserve">Instruction </w:t>
            </w:r>
            <w:hyperlink r:id="rId45" w:history="1">
              <w:r w:rsidR="00F631F7">
                <w:rPr>
                  <w:rStyle w:val="Hyperlink"/>
                </w:rPr>
                <w:t>(</w:t>
              </w:r>
              <w:r w:rsidR="00F631F7" w:rsidRPr="00D15DCE">
                <w:rPr>
                  <w:rStyle w:val="Hyperlink"/>
                </w:rPr>
                <w:t xml:space="preserve">English </w:t>
              </w:r>
            </w:hyperlink>
            <w:r w:rsidR="00F631F7">
              <w:rPr>
                <w:rStyle w:val="Hyperlink"/>
              </w:rPr>
              <w:t>and</w:t>
            </w:r>
            <w:r>
              <w:t xml:space="preserve"> </w:t>
            </w:r>
            <w:hyperlink r:id="rId46" w:history="1">
              <w:r w:rsidRPr="00D15DCE">
                <w:rPr>
                  <w:rStyle w:val="Hyperlink"/>
                </w:rPr>
                <w:t>Spanish</w:t>
              </w:r>
            </w:hyperlink>
            <w:r w:rsidR="00F631F7">
              <w:rPr>
                <w:rStyle w:val="Hyperlink"/>
              </w:rPr>
              <w:t>)</w:t>
            </w:r>
          </w:p>
        </w:tc>
      </w:tr>
      <w:tr w:rsidR="001104CF" w:rsidRPr="0062190B" w14:paraId="7225DADA" w14:textId="77777777" w:rsidTr="004F1C13">
        <w:trPr>
          <w:trHeight w:val="1832"/>
        </w:trPr>
        <w:tc>
          <w:tcPr>
            <w:tcW w:w="2083" w:type="pct"/>
            <w:tcBorders>
              <w:top w:val="nil"/>
              <w:left w:val="single" w:sz="4" w:space="0" w:color="auto"/>
              <w:bottom w:val="single" w:sz="4" w:space="0" w:color="auto"/>
              <w:right w:val="single" w:sz="4" w:space="0" w:color="auto"/>
            </w:tcBorders>
            <w:shd w:val="clear" w:color="auto" w:fill="auto"/>
            <w:vAlign w:val="center"/>
          </w:tcPr>
          <w:p w14:paraId="42321B2C" w14:textId="5F198ADF" w:rsidR="001104CF" w:rsidRPr="00F14C40" w:rsidRDefault="001104CF" w:rsidP="004F1C13">
            <w:pPr>
              <w:pStyle w:val="ListParagraph"/>
              <w:numPr>
                <w:ilvl w:val="0"/>
                <w:numId w:val="46"/>
              </w:numPr>
              <w:ind w:left="341"/>
            </w:pPr>
            <w:r w:rsidRPr="00CD4545">
              <w:lastRenderedPageBreak/>
              <w:t xml:space="preserve">Technical support </w:t>
            </w:r>
            <w:r>
              <w:t xml:space="preserve">from the Department </w:t>
            </w:r>
            <w:r>
              <w:rPr>
                <w:rStyle w:val="Hyperlink"/>
                <w:color w:val="auto"/>
                <w:u w:val="none"/>
              </w:rPr>
              <w:t xml:space="preserve">is available to all stakeholders through </w:t>
            </w:r>
            <w:r w:rsidRPr="002E5161">
              <w:t xml:space="preserve">phone support and </w:t>
            </w:r>
            <w:r>
              <w:t xml:space="preserve">a </w:t>
            </w:r>
            <w:r w:rsidRPr="002E5161">
              <w:t xml:space="preserve">dedicated email address </w:t>
            </w:r>
            <w:r>
              <w:t>(</w:t>
            </w:r>
            <w:hyperlink r:id="rId47">
              <w:r w:rsidRPr="002E5161">
                <w:rPr>
                  <w:rStyle w:val="Hyperlink"/>
                </w:rPr>
                <w:t>AAparticipation@education.ohio.gov</w:t>
              </w:r>
            </w:hyperlink>
            <w:r w:rsidRPr="00D618BC">
              <w:rPr>
                <w:rStyle w:val="Hyperlink"/>
                <w:color w:val="000000" w:themeColor="text1"/>
                <w:u w:val="none"/>
              </w:rPr>
              <w:t>)</w:t>
            </w:r>
            <w:r w:rsidRPr="00D618BC">
              <w:rPr>
                <w:color w:val="000000" w:themeColor="text1"/>
              </w:rPr>
              <w:t>.</w:t>
            </w:r>
          </w:p>
        </w:tc>
        <w:tc>
          <w:tcPr>
            <w:tcW w:w="2917" w:type="pct"/>
            <w:tcBorders>
              <w:top w:val="nil"/>
              <w:left w:val="nil"/>
              <w:bottom w:val="single" w:sz="4" w:space="0" w:color="auto"/>
              <w:right w:val="single" w:sz="4" w:space="0" w:color="auto"/>
            </w:tcBorders>
            <w:shd w:val="clear" w:color="auto" w:fill="auto"/>
            <w:vAlign w:val="center"/>
          </w:tcPr>
          <w:p w14:paraId="4BD4E874" w14:textId="77777777" w:rsidR="001104CF" w:rsidRDefault="001104CF" w:rsidP="004F1C13">
            <w:pPr>
              <w:pStyle w:val="ListParagraph"/>
              <w:numPr>
                <w:ilvl w:val="0"/>
                <w:numId w:val="7"/>
              </w:numPr>
              <w:ind w:left="340"/>
            </w:pPr>
            <w:r>
              <w:t>Email</w:t>
            </w:r>
            <w:r w:rsidRPr="0062190B">
              <w:t xml:space="preserve"> support provided by Department staff via </w:t>
            </w:r>
            <w:hyperlink r:id="rId48" w:history="1">
              <w:r w:rsidRPr="003975B9">
                <w:rPr>
                  <w:rStyle w:val="Hyperlink"/>
                  <w:color w:val="0070C0"/>
                  <w:shd w:val="clear" w:color="auto" w:fill="FFFFFF"/>
                </w:rPr>
                <w:t>AAparticipation@education.ohio.gov</w:t>
              </w:r>
            </w:hyperlink>
          </w:p>
          <w:p w14:paraId="41E69883" w14:textId="77777777" w:rsidR="001104CF" w:rsidRPr="0062190B" w:rsidRDefault="001104CF" w:rsidP="004F1C13">
            <w:pPr>
              <w:pStyle w:val="ListParagraph"/>
              <w:numPr>
                <w:ilvl w:val="0"/>
                <w:numId w:val="7"/>
              </w:numPr>
              <w:ind w:left="340"/>
            </w:pPr>
            <w:r>
              <w:t>P</w:t>
            </w:r>
            <w:r w:rsidRPr="0062190B">
              <w:t xml:space="preserve">hone support provided by Department staff </w:t>
            </w:r>
            <w:r>
              <w:t>at 614-466-13217 or 1-877-644-6338</w:t>
            </w:r>
          </w:p>
          <w:p w14:paraId="218D54DD" w14:textId="77777777" w:rsidR="001104CF" w:rsidRPr="001104CF" w:rsidRDefault="00A7758B" w:rsidP="004F1C13">
            <w:pPr>
              <w:pStyle w:val="ListParagraph"/>
              <w:numPr>
                <w:ilvl w:val="0"/>
                <w:numId w:val="6"/>
              </w:numPr>
              <w:spacing w:after="0"/>
              <w:ind w:left="340"/>
              <w:rPr>
                <w:rStyle w:val="Hyperlink"/>
                <w:b/>
                <w:color w:val="auto"/>
                <w:u w:val="none"/>
              </w:rPr>
            </w:pPr>
            <w:hyperlink r:id="rId49" w:history="1">
              <w:r w:rsidR="001104CF" w:rsidRPr="000F3AD3">
                <w:rPr>
                  <w:rStyle w:val="Hyperlink"/>
                </w:rPr>
                <w:t>ODE AASCD Web Page</w:t>
              </w:r>
            </w:hyperlink>
          </w:p>
          <w:p w14:paraId="17494D44" w14:textId="36A1A874" w:rsidR="001104CF" w:rsidRPr="001104CF" w:rsidRDefault="00A7758B" w:rsidP="004F1C13">
            <w:pPr>
              <w:pStyle w:val="ListParagraph"/>
              <w:numPr>
                <w:ilvl w:val="0"/>
                <w:numId w:val="6"/>
              </w:numPr>
              <w:spacing w:after="0"/>
              <w:ind w:left="340"/>
              <w:rPr>
                <w:b/>
              </w:rPr>
            </w:pPr>
            <w:hyperlink r:id="rId50" w:history="1">
              <w:r w:rsidR="001104CF" w:rsidRPr="00C57921">
                <w:rPr>
                  <w:rStyle w:val="Hyperlink"/>
                </w:rPr>
                <w:t xml:space="preserve">Ohio Alternate Assessment </w:t>
              </w:r>
              <w:r w:rsidR="00FB34F5">
                <w:rPr>
                  <w:rStyle w:val="Hyperlink"/>
                </w:rPr>
                <w:t xml:space="preserve">Test </w:t>
              </w:r>
              <w:r w:rsidR="001104CF" w:rsidRPr="00C57921">
                <w:rPr>
                  <w:rStyle w:val="Hyperlink"/>
                </w:rPr>
                <w:t>Portal</w:t>
              </w:r>
            </w:hyperlink>
          </w:p>
        </w:tc>
      </w:tr>
      <w:bookmarkEnd w:id="63"/>
    </w:tbl>
    <w:p w14:paraId="38242D27" w14:textId="79F5EE60" w:rsidR="00E8239C" w:rsidRDefault="00E8239C" w:rsidP="005822E4"/>
    <w:p w14:paraId="3AB2D72F" w14:textId="3969B1BE" w:rsidR="00D51BE4" w:rsidRDefault="00E8239C" w:rsidP="00AA0B7B">
      <w:pPr>
        <w:spacing w:line="259" w:lineRule="auto"/>
      </w:pPr>
      <w:r>
        <w:br w:type="page"/>
      </w:r>
    </w:p>
    <w:p w14:paraId="3DAA6DAB" w14:textId="6CBE5952" w:rsidR="00430486" w:rsidRDefault="00835E0B" w:rsidP="00835E0B">
      <w:pPr>
        <w:pStyle w:val="Heading1"/>
      </w:pPr>
      <w:bookmarkStart w:id="64" w:name="_Toc54954309"/>
      <w:r>
        <w:lastRenderedPageBreak/>
        <w:t xml:space="preserve">ACTION STEPS FOR </w:t>
      </w:r>
      <w:r w:rsidR="005E7292" w:rsidRPr="00002101">
        <w:t>202</w:t>
      </w:r>
      <w:r w:rsidR="00873A5D" w:rsidRPr="00002101">
        <w:t>1</w:t>
      </w:r>
      <w:r w:rsidRPr="00002101">
        <w:t>-202</w:t>
      </w:r>
      <w:r w:rsidR="00873A5D" w:rsidRPr="00002101">
        <w:t>2</w:t>
      </w:r>
      <w:bookmarkEnd w:id="64"/>
    </w:p>
    <w:p w14:paraId="6785D0C3" w14:textId="3A3AAA38" w:rsidR="000C744B" w:rsidRDefault="000C744B" w:rsidP="00AA008F">
      <w:pPr>
        <w:pStyle w:val="ListParagraph"/>
        <w:numPr>
          <w:ilvl w:val="0"/>
          <w:numId w:val="25"/>
        </w:numPr>
      </w:pPr>
      <w:r>
        <w:t xml:space="preserve">Conduct a </w:t>
      </w:r>
      <w:r w:rsidR="003B182E" w:rsidRPr="003B182E">
        <w:t>targeted analysis of student participation</w:t>
      </w:r>
      <w:r>
        <w:t xml:space="preserve"> in alternate assessment</w:t>
      </w:r>
      <w:r w:rsidR="003B182E" w:rsidRPr="003B182E">
        <w:t xml:space="preserve"> by 1) socioeconomic status</w:t>
      </w:r>
      <w:r w:rsidR="008C1C93">
        <w:t>,</w:t>
      </w:r>
      <w:r w:rsidR="003B182E" w:rsidRPr="003B182E">
        <w:t xml:space="preserve"> 2) race and ethnicity</w:t>
      </w:r>
      <w:r w:rsidR="008C1C93">
        <w:t>,</w:t>
      </w:r>
      <w:r w:rsidR="003B182E" w:rsidRPr="003B182E">
        <w:t xml:space="preserve"> and 3) disability category. This analysis will include data at the state level. </w:t>
      </w:r>
      <w:r w:rsidR="00DF0CCE">
        <w:t xml:space="preserve">An analysis of disproportionality data will help the Department </w:t>
      </w:r>
      <w:r w:rsidR="00D33D7F">
        <w:t xml:space="preserve">clarify statewide trends and support local districts and community schools in improving their use of </w:t>
      </w:r>
      <w:r w:rsidR="003B6AEB">
        <w:t xml:space="preserve">alternate assessments. </w:t>
      </w:r>
    </w:p>
    <w:p w14:paraId="476EF52A" w14:textId="61305391" w:rsidR="00820AD1" w:rsidRDefault="00A87F61" w:rsidP="00AA008F">
      <w:pPr>
        <w:pStyle w:val="ListParagraph"/>
        <w:numPr>
          <w:ilvl w:val="0"/>
          <w:numId w:val="25"/>
        </w:numPr>
      </w:pPr>
      <w:r>
        <w:t>Continue</w:t>
      </w:r>
      <w:r w:rsidR="000C744B">
        <w:t xml:space="preserve"> the rigor of </w:t>
      </w:r>
      <w:r w:rsidR="003B182E" w:rsidRPr="003B182E">
        <w:t xml:space="preserve">the </w:t>
      </w:r>
      <w:r w:rsidR="00BD1AA7">
        <w:t>s</w:t>
      </w:r>
      <w:r w:rsidR="00BD1AA7" w:rsidRPr="003B182E">
        <w:t>elf</w:t>
      </w:r>
      <w:r w:rsidR="003B182E" w:rsidRPr="003B182E">
        <w:t>-</w:t>
      </w:r>
      <w:r w:rsidR="00BD1AA7">
        <w:t>r</w:t>
      </w:r>
      <w:r w:rsidR="00BD1AA7" w:rsidRPr="003B182E">
        <w:t xml:space="preserve">eview </w:t>
      </w:r>
      <w:r w:rsidR="00BD1AA7">
        <w:t>s</w:t>
      </w:r>
      <w:r w:rsidR="00BD1AA7" w:rsidRPr="003B182E">
        <w:t xml:space="preserve">ummary </w:t>
      </w:r>
      <w:r w:rsidR="00BD1AA7">
        <w:t>r</w:t>
      </w:r>
      <w:r w:rsidR="00BD1AA7" w:rsidRPr="003B182E">
        <w:t xml:space="preserve">eport </w:t>
      </w:r>
      <w:r w:rsidR="00E07CD3">
        <w:t>for</w:t>
      </w:r>
      <w:r w:rsidR="000C744B">
        <w:t xml:space="preserve"> Tier 3 </w:t>
      </w:r>
      <w:r w:rsidR="003B182E" w:rsidRPr="003B182E">
        <w:t>districts and community schools</w:t>
      </w:r>
      <w:r w:rsidR="000C744B">
        <w:t xml:space="preserve">. </w:t>
      </w:r>
      <w:r w:rsidR="00E627F4">
        <w:t xml:space="preserve">The Department will </w:t>
      </w:r>
      <w:r w:rsidR="00430084">
        <w:t>continue</w:t>
      </w:r>
      <w:r w:rsidR="00F2770F">
        <w:t xml:space="preserve"> to engage districts and community schools</w:t>
      </w:r>
      <w:r w:rsidR="003B182E" w:rsidRPr="003B182E">
        <w:t xml:space="preserve"> in </w:t>
      </w:r>
      <w:r w:rsidR="00430084">
        <w:t>a</w:t>
      </w:r>
      <w:r w:rsidR="003B182E" w:rsidRPr="003B182E">
        <w:t xml:space="preserve"> rigorous data analysis, especially concerning disproportionality data</w:t>
      </w:r>
      <w:r w:rsidR="00430084">
        <w:t xml:space="preserve"> utilizing the disproportionality calculator</w:t>
      </w:r>
      <w:r w:rsidR="003B182E" w:rsidRPr="003B182E">
        <w:t xml:space="preserve">. </w:t>
      </w:r>
    </w:p>
    <w:p w14:paraId="682B4B14" w14:textId="2958D959" w:rsidR="00E35775" w:rsidRDefault="3C80741D" w:rsidP="00AA008F">
      <w:pPr>
        <w:pStyle w:val="ListParagraph"/>
        <w:numPr>
          <w:ilvl w:val="0"/>
          <w:numId w:val="25"/>
        </w:numPr>
      </w:pPr>
      <w:r>
        <w:t xml:space="preserve">The Department will </w:t>
      </w:r>
      <w:r w:rsidR="5BA4B4FB">
        <w:t xml:space="preserve">continue to </w:t>
      </w:r>
      <w:r w:rsidR="020C89CF">
        <w:t xml:space="preserve">develop and </w:t>
      </w:r>
      <w:r w:rsidR="54574DA9">
        <w:t>disseminate</w:t>
      </w:r>
      <w:r w:rsidR="5BA4B4FB">
        <w:t xml:space="preserve"> resources and training to districts about the </w:t>
      </w:r>
      <w:r w:rsidR="00A03414">
        <w:t>A</w:t>
      </w:r>
      <w:r w:rsidR="54574DA9">
        <w:t xml:space="preserve">lternate </w:t>
      </w:r>
      <w:r w:rsidR="00A03414">
        <w:t>A</w:t>
      </w:r>
      <w:r w:rsidR="54574DA9">
        <w:t xml:space="preserve">ssessment </w:t>
      </w:r>
      <w:r w:rsidR="00A03414">
        <w:t>P</w:t>
      </w:r>
      <w:r w:rsidR="54574DA9">
        <w:t>articipation</w:t>
      </w:r>
      <w:r w:rsidR="5BA4B4FB">
        <w:t xml:space="preserve"> </w:t>
      </w:r>
      <w:r w:rsidR="00A03414">
        <w:t>D</w:t>
      </w:r>
      <w:r w:rsidR="5BA4B4FB">
        <w:t>ecision-</w:t>
      </w:r>
      <w:r w:rsidR="00A03414">
        <w:t>M</w:t>
      </w:r>
      <w:r w:rsidR="5BA4B4FB">
        <w:t xml:space="preserve">aking </w:t>
      </w:r>
      <w:r w:rsidR="00A03414">
        <w:t>T</w:t>
      </w:r>
      <w:r w:rsidR="5BA4B4FB">
        <w:t xml:space="preserve">ool. </w:t>
      </w:r>
      <w:r w:rsidR="16C3245E">
        <w:t xml:space="preserve">Ohio will continue partnership with the </w:t>
      </w:r>
      <w:r w:rsidR="00A03414">
        <w:t>OCALI</w:t>
      </w:r>
      <w:r w:rsidR="00D12D0B">
        <w:t xml:space="preserve"> </w:t>
      </w:r>
      <w:r w:rsidR="16C3245E">
        <w:t xml:space="preserve">to produce instructional support material and training resources to address students who transition to the </w:t>
      </w:r>
      <w:r w:rsidR="0352CBB4">
        <w:t xml:space="preserve">regular assessment. </w:t>
      </w:r>
    </w:p>
    <w:p w14:paraId="261E6635" w14:textId="655DBDDA" w:rsidR="00B55AEB" w:rsidRDefault="00661AFD" w:rsidP="00AA008F">
      <w:pPr>
        <w:pStyle w:val="ListParagraph"/>
        <w:numPr>
          <w:ilvl w:val="0"/>
          <w:numId w:val="25"/>
        </w:numPr>
      </w:pPr>
      <w:r>
        <w:t>Expand the</w:t>
      </w:r>
      <w:r w:rsidR="003B182E" w:rsidRPr="003B182E">
        <w:t xml:space="preserve"> State Support Team Alternate Assessment Participation Professional Development Toolkit </w:t>
      </w:r>
      <w:r w:rsidR="005B53F7">
        <w:t xml:space="preserve">with new and updated </w:t>
      </w:r>
      <w:r w:rsidR="003B182E" w:rsidRPr="003B182E">
        <w:t xml:space="preserve">content on </w:t>
      </w:r>
      <w:r w:rsidR="00B55AEB">
        <w:t xml:space="preserve">how to </w:t>
      </w:r>
      <w:r w:rsidR="005B53F7">
        <w:t xml:space="preserve">apply </w:t>
      </w:r>
      <w:r w:rsidR="003B182E" w:rsidRPr="003B182E">
        <w:t xml:space="preserve">the participation criteria, </w:t>
      </w:r>
      <w:r w:rsidR="000146BD">
        <w:t xml:space="preserve">fully engage parents and </w:t>
      </w:r>
      <w:r w:rsidR="003733E8">
        <w:t xml:space="preserve">improve </w:t>
      </w:r>
      <w:r w:rsidR="000146BD">
        <w:t xml:space="preserve">their understanding </w:t>
      </w:r>
      <w:r w:rsidR="003733E8">
        <w:t>of</w:t>
      </w:r>
      <w:r w:rsidR="000146BD">
        <w:t xml:space="preserve"> the alternate assessment participation decision making process</w:t>
      </w:r>
      <w:r w:rsidR="003B182E" w:rsidRPr="003B182E">
        <w:t xml:space="preserve">, and </w:t>
      </w:r>
      <w:r w:rsidR="00DA3BAE">
        <w:t xml:space="preserve">other elements covered in the </w:t>
      </w:r>
      <w:r w:rsidR="00BD1AA7">
        <w:t>s</w:t>
      </w:r>
      <w:r w:rsidR="00DA3BAE">
        <w:t xml:space="preserve">elf-review </w:t>
      </w:r>
      <w:r w:rsidR="00BD1AA7">
        <w:t>s</w:t>
      </w:r>
      <w:r w:rsidR="00DA3BAE">
        <w:t xml:space="preserve">ummary </w:t>
      </w:r>
      <w:r w:rsidR="00BD1AA7">
        <w:t>r</w:t>
      </w:r>
      <w:r w:rsidR="00DA3BAE">
        <w:t>eport</w:t>
      </w:r>
      <w:r w:rsidR="003B182E" w:rsidRPr="003B182E">
        <w:t xml:space="preserve">. </w:t>
      </w:r>
      <w:r w:rsidR="00D54563">
        <w:t xml:space="preserve">Regional and local professional development </w:t>
      </w:r>
      <w:r w:rsidR="00DE3FDC">
        <w:t xml:space="preserve">will </w:t>
      </w:r>
      <w:r w:rsidR="005D44E1">
        <w:t xml:space="preserve">provide opportunities </w:t>
      </w:r>
      <w:r w:rsidR="00D818DF">
        <w:t xml:space="preserve">to dispel </w:t>
      </w:r>
      <w:r w:rsidR="00D77ACC">
        <w:t xml:space="preserve">some of the misunderstandings </w:t>
      </w:r>
      <w:r w:rsidR="002E04AB">
        <w:t xml:space="preserve">observed in district and community school justification forms. </w:t>
      </w:r>
    </w:p>
    <w:p w14:paraId="5EFAF322" w14:textId="23A065EC" w:rsidR="003B182E" w:rsidRDefault="003B182E" w:rsidP="00AA008F">
      <w:pPr>
        <w:pStyle w:val="ListParagraph"/>
        <w:numPr>
          <w:ilvl w:val="0"/>
          <w:numId w:val="25"/>
        </w:numPr>
      </w:pPr>
      <w:r w:rsidRPr="003B182E">
        <w:t xml:space="preserve">Continue and modify, as needed, use of a multitiered system of statewide support to improve the </w:t>
      </w:r>
      <w:r w:rsidR="00087E56">
        <w:t xml:space="preserve">appropriate </w:t>
      </w:r>
      <w:r w:rsidRPr="003B182E">
        <w:t xml:space="preserve">use of alternate assessment. The Department will continue to apply the action steps by tier as outlined in Tables </w:t>
      </w:r>
      <w:r w:rsidRPr="000146BD">
        <w:t>5</w:t>
      </w:r>
      <w:r w:rsidR="000146BD" w:rsidRPr="000146BD">
        <w:t>, 6</w:t>
      </w:r>
      <w:r w:rsidRPr="000146BD">
        <w:t xml:space="preserve"> and </w:t>
      </w:r>
      <w:r w:rsidR="000146BD" w:rsidRPr="000146BD">
        <w:t>7</w:t>
      </w:r>
      <w:r w:rsidR="00B55AEB">
        <w:t xml:space="preserve"> above</w:t>
      </w:r>
      <w:r w:rsidRPr="003B182E">
        <w:t>.</w:t>
      </w:r>
    </w:p>
    <w:p w14:paraId="5819C879" w14:textId="06B3AD6D" w:rsidR="007B6AA4" w:rsidRPr="007B6AA4" w:rsidRDefault="00A30C37" w:rsidP="007B6AA4">
      <w:pPr>
        <w:pStyle w:val="ListParagraph"/>
        <w:numPr>
          <w:ilvl w:val="0"/>
          <w:numId w:val="25"/>
        </w:numPr>
      </w:pPr>
      <w:r>
        <w:t xml:space="preserve">Continue participation in </w:t>
      </w:r>
      <w:r w:rsidR="007025F3">
        <w:t xml:space="preserve">national networks and learning opportunities for state staff. </w:t>
      </w:r>
      <w:r w:rsidR="0032346A">
        <w:t>Working collaboratively with other members of the</w:t>
      </w:r>
      <w:r w:rsidR="007B6AA4" w:rsidRPr="007B6AA4">
        <w:t xml:space="preserve"> Council of Chief State School Officers (CCSSO) Assessment, Standards and Education of Students with Disabilities (ASES) State Collaborative on Assessment, Standards and Students (SCASS)</w:t>
      </w:r>
      <w:r w:rsidR="00F74687">
        <w:t>.</w:t>
      </w:r>
    </w:p>
    <w:p w14:paraId="5739713A" w14:textId="41F4369B" w:rsidR="00DA3BAE" w:rsidRDefault="003B6AE7" w:rsidP="00DA3BAE">
      <w:pPr>
        <w:pStyle w:val="ListParagraph"/>
        <w:numPr>
          <w:ilvl w:val="0"/>
          <w:numId w:val="25"/>
        </w:numPr>
      </w:pPr>
      <w:r>
        <w:t>T</w:t>
      </w:r>
      <w:r w:rsidR="007D0BDC">
        <w:t xml:space="preserve">he Department </w:t>
      </w:r>
      <w:r>
        <w:t xml:space="preserve">will </w:t>
      </w:r>
      <w:r w:rsidR="00AB614D">
        <w:t xml:space="preserve">widely disseminate new family resources to parent and engagement specialists in the </w:t>
      </w:r>
      <w:r w:rsidR="00C8556D">
        <w:t xml:space="preserve">state support teams to share with families for better understanding of the assessment, eligibility and Ohio’s Learning Standards – Extended and instruction for students with a most significant cognitive </w:t>
      </w:r>
      <w:r w:rsidR="00F74687">
        <w:t>disability</w:t>
      </w:r>
      <w:r w:rsidR="00C8556D">
        <w:t>.</w:t>
      </w:r>
      <w:r w:rsidR="002E3170">
        <w:t xml:space="preserve"> </w:t>
      </w:r>
      <w:r w:rsidR="004713A6">
        <w:t xml:space="preserve"> </w:t>
      </w:r>
    </w:p>
    <w:p w14:paraId="163DB052" w14:textId="76943B88" w:rsidR="00487F6A" w:rsidRPr="003733E8" w:rsidRDefault="00DA3BAE" w:rsidP="003733E8">
      <w:pPr>
        <w:pStyle w:val="ListParagraph"/>
        <w:numPr>
          <w:ilvl w:val="0"/>
          <w:numId w:val="25"/>
        </w:numPr>
      </w:pPr>
      <w:r>
        <w:t>Continue to receive technical assistance form the National Center for Educational Outcomes (NCEO) as well as participate in the 1% Community of Practice and Peer Learning Groups hosted by NCEO and the TIES Center.</w:t>
      </w:r>
      <w:bookmarkStart w:id="65" w:name="_Toc524527569"/>
    </w:p>
    <w:p w14:paraId="648C8D2E" w14:textId="77777777" w:rsidR="00206006" w:rsidRDefault="00206006">
      <w:pPr>
        <w:spacing w:line="259" w:lineRule="auto"/>
        <w:rPr>
          <w:rFonts w:eastAsiaTheme="majorEastAsia"/>
          <w:b/>
          <w:color w:val="2E74B5" w:themeColor="accent5" w:themeShade="BF"/>
        </w:rPr>
      </w:pPr>
      <w:bookmarkStart w:id="66" w:name="_Toc20039363"/>
      <w:bookmarkStart w:id="67" w:name="_Toc54954310"/>
      <w:r>
        <w:br w:type="page"/>
      </w:r>
    </w:p>
    <w:p w14:paraId="085C7152" w14:textId="5429D992" w:rsidR="009F55CA" w:rsidRDefault="009F55CA" w:rsidP="00191E6E">
      <w:pPr>
        <w:pStyle w:val="Heading1"/>
      </w:pPr>
      <w:r w:rsidRPr="00F14C40">
        <w:lastRenderedPageBreak/>
        <w:t>APPENDI</w:t>
      </w:r>
      <w:bookmarkEnd w:id="65"/>
      <w:bookmarkEnd w:id="66"/>
      <w:bookmarkEnd w:id="67"/>
      <w:r w:rsidR="00002101">
        <w:t>CES</w:t>
      </w:r>
      <w:r w:rsidR="00064B6A">
        <w:t xml:space="preserve"> </w:t>
      </w:r>
    </w:p>
    <w:p w14:paraId="3FBAA3DF" w14:textId="77777777" w:rsidR="00C93639" w:rsidRDefault="00C93639" w:rsidP="006D0381">
      <w:pPr>
        <w:numPr>
          <w:ilvl w:val="0"/>
          <w:numId w:val="28"/>
        </w:numPr>
      </w:pPr>
      <w:r>
        <w:t>Alternate Assessment Family Resources</w:t>
      </w:r>
    </w:p>
    <w:p w14:paraId="78C33FA1" w14:textId="4ACEA94D" w:rsidR="0024608D" w:rsidRPr="00D545E7" w:rsidRDefault="00C93639" w:rsidP="006D0381">
      <w:pPr>
        <w:numPr>
          <w:ilvl w:val="0"/>
          <w:numId w:val="28"/>
        </w:numPr>
      </w:pPr>
      <w:r>
        <w:t>Alternate Assessment Participation</w:t>
      </w:r>
      <w:r w:rsidR="0024608D" w:rsidRPr="00D545E7">
        <w:t xml:space="preserve"> Decision-</w:t>
      </w:r>
      <w:r w:rsidR="00BE7DAE">
        <w:t>M</w:t>
      </w:r>
      <w:r w:rsidR="0024608D" w:rsidRPr="00D545E7">
        <w:t>aking Tool </w:t>
      </w:r>
    </w:p>
    <w:p w14:paraId="756CE93D" w14:textId="7541DACB" w:rsidR="0024608D" w:rsidRPr="00D545E7" w:rsidRDefault="00C93639" w:rsidP="006D0381">
      <w:pPr>
        <w:numPr>
          <w:ilvl w:val="0"/>
          <w:numId w:val="29"/>
        </w:numPr>
      </w:pPr>
      <w:r>
        <w:t>Alternate Assessment Participation</w:t>
      </w:r>
      <w:r w:rsidR="0024608D" w:rsidRPr="00D545E7">
        <w:t xml:space="preserve"> Decision-</w:t>
      </w:r>
      <w:r w:rsidR="00BE7DAE">
        <w:t>M</w:t>
      </w:r>
      <w:r w:rsidR="0024608D" w:rsidRPr="00D545E7">
        <w:t>aking Tool Frequently Asked Questions </w:t>
      </w:r>
    </w:p>
    <w:p w14:paraId="6E3CBCC6" w14:textId="7D24D2AB" w:rsidR="0024608D" w:rsidRPr="00D545E7" w:rsidRDefault="00C93639" w:rsidP="006D0381">
      <w:pPr>
        <w:numPr>
          <w:ilvl w:val="0"/>
          <w:numId w:val="30"/>
        </w:numPr>
      </w:pPr>
      <w:r>
        <w:t>Alternate Assessment</w:t>
      </w:r>
      <w:r w:rsidR="0024608D" w:rsidRPr="00D545E7">
        <w:t xml:space="preserve"> Technical Assistance meetings with NCEO</w:t>
      </w:r>
      <w:r w:rsidR="006D0381" w:rsidRPr="00D545E7">
        <w:t>: Work Plan, Sample Meeting Notes</w:t>
      </w:r>
      <w:r w:rsidR="0024608D" w:rsidRPr="00D545E7">
        <w:t> </w:t>
      </w:r>
    </w:p>
    <w:p w14:paraId="2B22DC43" w14:textId="7C0CDC31" w:rsidR="0024608D" w:rsidRPr="00D545E7" w:rsidRDefault="0024608D" w:rsidP="006D0381">
      <w:pPr>
        <w:numPr>
          <w:ilvl w:val="0"/>
          <w:numId w:val="31"/>
        </w:numPr>
      </w:pPr>
      <w:r w:rsidRPr="00D545E7">
        <w:t>Office for Exceptional Children Comprehensive Monitoring Process: </w:t>
      </w:r>
      <w:r w:rsidR="006D0381" w:rsidRPr="00D545E7">
        <w:t>O</w:t>
      </w:r>
      <w:r w:rsidRPr="00D545E7">
        <w:t>nsite checklist and review record   </w:t>
      </w:r>
    </w:p>
    <w:p w14:paraId="7368B234" w14:textId="6FB239AA" w:rsidR="0024608D" w:rsidRPr="00D545E7" w:rsidRDefault="0024608D" w:rsidP="00065C23">
      <w:pPr>
        <w:pStyle w:val="ListParagraph"/>
        <w:numPr>
          <w:ilvl w:val="0"/>
          <w:numId w:val="31"/>
        </w:numPr>
        <w:spacing w:line="360" w:lineRule="auto"/>
      </w:pPr>
      <w:r w:rsidRPr="00D545E7">
        <w:t>District Self-Review Summary Report template  </w:t>
      </w:r>
    </w:p>
    <w:p w14:paraId="12897A1E" w14:textId="7890AE9F" w:rsidR="0024608D" w:rsidRPr="00D545E7" w:rsidRDefault="0024608D" w:rsidP="00065C23">
      <w:pPr>
        <w:pStyle w:val="ListParagraph"/>
        <w:numPr>
          <w:ilvl w:val="0"/>
          <w:numId w:val="31"/>
        </w:numPr>
        <w:spacing w:line="360" w:lineRule="auto"/>
      </w:pPr>
      <w:r w:rsidRPr="00D545E7">
        <w:t>District Improvement Plan template   </w:t>
      </w:r>
    </w:p>
    <w:p w14:paraId="108FAB23" w14:textId="4662FA69" w:rsidR="0024608D" w:rsidRPr="00D545E7" w:rsidRDefault="0024608D" w:rsidP="00065C23">
      <w:pPr>
        <w:pStyle w:val="ListParagraph"/>
        <w:numPr>
          <w:ilvl w:val="0"/>
          <w:numId w:val="31"/>
        </w:numPr>
        <w:spacing w:line="360" w:lineRule="auto"/>
      </w:pPr>
      <w:r w:rsidRPr="00D545E7">
        <w:t>Parent meetings led by Office for Exceptional Children staff: Sample PowerPoint   </w:t>
      </w:r>
    </w:p>
    <w:p w14:paraId="72A5166F" w14:textId="3A1E4C00" w:rsidR="0024608D" w:rsidRPr="00D545E7" w:rsidRDefault="0024608D" w:rsidP="00065C23">
      <w:pPr>
        <w:pStyle w:val="ListParagraph"/>
        <w:numPr>
          <w:ilvl w:val="0"/>
          <w:numId w:val="31"/>
        </w:numPr>
        <w:spacing w:line="360" w:lineRule="auto"/>
      </w:pPr>
      <w:r w:rsidRPr="00D545E7">
        <w:t>Parent public meetings: Sample notice and notification letter  </w:t>
      </w:r>
    </w:p>
    <w:p w14:paraId="26F02DB2" w14:textId="461CB7EA" w:rsidR="0024608D" w:rsidRPr="00D545E7" w:rsidRDefault="0024608D" w:rsidP="00065C23">
      <w:pPr>
        <w:pStyle w:val="ListParagraph"/>
        <w:numPr>
          <w:ilvl w:val="0"/>
          <w:numId w:val="31"/>
        </w:numPr>
        <w:spacing w:line="360" w:lineRule="auto"/>
      </w:pPr>
      <w:r w:rsidRPr="00D545E7">
        <w:t>Regional meetings with special education administrators: Sample schedules and communications  </w:t>
      </w:r>
    </w:p>
    <w:p w14:paraId="6715C7C0" w14:textId="1D8105D0" w:rsidR="0024608D" w:rsidRPr="00D545E7" w:rsidRDefault="0024608D" w:rsidP="00065C23">
      <w:pPr>
        <w:pStyle w:val="ListParagraph"/>
        <w:numPr>
          <w:ilvl w:val="0"/>
          <w:numId w:val="31"/>
        </w:numPr>
        <w:spacing w:line="360" w:lineRule="auto"/>
      </w:pPr>
      <w:r w:rsidRPr="00D545E7">
        <w:t>Ohio Statewide Testing and Students with Disabilities Advisory Committee: Sample meeting agendas  </w:t>
      </w:r>
    </w:p>
    <w:p w14:paraId="499CF288" w14:textId="7A738631" w:rsidR="0024608D" w:rsidRPr="00D545E7" w:rsidRDefault="0024608D" w:rsidP="00065C23">
      <w:pPr>
        <w:pStyle w:val="ListParagraph"/>
        <w:numPr>
          <w:ilvl w:val="0"/>
          <w:numId w:val="31"/>
        </w:numPr>
        <w:spacing w:line="360" w:lineRule="auto"/>
      </w:pPr>
      <w:r w:rsidRPr="00D545E7">
        <w:t>Presentations at Ohio Association of Pupil Service Administrators meetings and other professional organizations: Sample PowerPoint</w:t>
      </w:r>
    </w:p>
    <w:p w14:paraId="251126D2" w14:textId="057A7665" w:rsidR="0024608D" w:rsidRPr="00D545E7" w:rsidRDefault="0024608D" w:rsidP="00065C23">
      <w:pPr>
        <w:pStyle w:val="ListParagraph"/>
        <w:numPr>
          <w:ilvl w:val="0"/>
          <w:numId w:val="31"/>
        </w:numPr>
        <w:spacing w:line="360" w:lineRule="auto"/>
      </w:pPr>
      <w:r w:rsidRPr="00D545E7">
        <w:t>State Advisory Panel for Exceptional Children: Sample agenda  </w:t>
      </w:r>
    </w:p>
    <w:p w14:paraId="1E0B10D8" w14:textId="4E21576F" w:rsidR="0024608D" w:rsidRPr="00D545E7" w:rsidRDefault="000769D0" w:rsidP="00065C23">
      <w:pPr>
        <w:pStyle w:val="ListParagraph"/>
        <w:numPr>
          <w:ilvl w:val="0"/>
          <w:numId w:val="31"/>
        </w:numPr>
        <w:spacing w:line="360" w:lineRule="auto"/>
      </w:pPr>
      <w:r>
        <w:t>State Support Team Alternate Assessment Trainers: sample agenda</w:t>
      </w:r>
    </w:p>
    <w:p w14:paraId="2991FE0B" w14:textId="032B66F2" w:rsidR="0024608D" w:rsidRPr="00D545E7" w:rsidRDefault="0024608D" w:rsidP="00065C23">
      <w:pPr>
        <w:pStyle w:val="ListParagraph"/>
        <w:numPr>
          <w:ilvl w:val="0"/>
          <w:numId w:val="31"/>
        </w:numPr>
        <w:spacing w:line="360" w:lineRule="auto"/>
      </w:pPr>
      <w:r w:rsidRPr="00D545E7">
        <w:t>Alternate assessment participation rates added to Special Education Profiles and Ratings: Sample PowerPoint  </w:t>
      </w:r>
    </w:p>
    <w:p w14:paraId="60CBC216" w14:textId="54A5F1B2" w:rsidR="0024608D" w:rsidRPr="00D545E7" w:rsidRDefault="0024608D" w:rsidP="00065C23">
      <w:pPr>
        <w:pStyle w:val="ListParagraph"/>
        <w:numPr>
          <w:ilvl w:val="0"/>
          <w:numId w:val="31"/>
        </w:numPr>
        <w:spacing w:line="360" w:lineRule="auto"/>
      </w:pPr>
      <w:r w:rsidRPr="00D545E7">
        <w:t>Monthly state support team Directors’ Meetings: Sample PowerPoint</w:t>
      </w:r>
    </w:p>
    <w:sectPr w:rsidR="0024608D" w:rsidRPr="00D545E7" w:rsidSect="007507F2">
      <w:headerReference w:type="default" r:id="rId51"/>
      <w:pgSz w:w="12240" w:h="15840" w:code="1"/>
      <w:pgMar w:top="63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A7D8A" w14:textId="77777777" w:rsidR="00A7758B" w:rsidRDefault="00A7758B" w:rsidP="00191E6E">
      <w:r>
        <w:separator/>
      </w:r>
    </w:p>
  </w:endnote>
  <w:endnote w:type="continuationSeparator" w:id="0">
    <w:p w14:paraId="14E5E986" w14:textId="77777777" w:rsidR="00A7758B" w:rsidRDefault="00A7758B" w:rsidP="00191E6E">
      <w:r>
        <w:continuationSeparator/>
      </w:r>
    </w:p>
  </w:endnote>
  <w:endnote w:type="continuationNotice" w:id="1">
    <w:p w14:paraId="51AFD822" w14:textId="77777777" w:rsidR="00A7758B" w:rsidRDefault="00A7758B" w:rsidP="00191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venir LT Std 45 Book">
    <w:altName w:val="Calibri"/>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D7D6" w14:textId="4A84CFB7" w:rsidR="00F40FD4" w:rsidRPr="005822E4" w:rsidRDefault="00F40FD4" w:rsidP="00100C14">
    <w:pPr>
      <w:pStyle w:val="Footer"/>
      <w:tabs>
        <w:tab w:val="clear" w:pos="4680"/>
        <w:tab w:val="left" w:pos="180"/>
        <w:tab w:val="left" w:pos="4320"/>
      </w:tabs>
      <w:spacing w:before="240"/>
      <w:rPr>
        <w:sz w:val="18"/>
      </w:rPr>
    </w:pPr>
    <w:r>
      <w:rPr>
        <w:b/>
        <w:sz w:val="18"/>
      </w:rPr>
      <w:tab/>
    </w:r>
    <w:r w:rsidRPr="00672C59">
      <w:rPr>
        <w:b/>
        <w:sz w:val="18"/>
      </w:rPr>
      <w:t xml:space="preserve">PAGE </w:t>
    </w:r>
    <w:r w:rsidRPr="00672C59">
      <w:rPr>
        <w:b/>
        <w:sz w:val="18"/>
      </w:rPr>
      <w:fldChar w:fldCharType="begin"/>
    </w:r>
    <w:r w:rsidRPr="00672C59">
      <w:rPr>
        <w:b/>
        <w:sz w:val="18"/>
      </w:rPr>
      <w:instrText xml:space="preserve"> PAGE   \* MERGEFORMAT </w:instrText>
    </w:r>
    <w:r w:rsidRPr="00672C59">
      <w:rPr>
        <w:b/>
        <w:sz w:val="18"/>
      </w:rPr>
      <w:fldChar w:fldCharType="separate"/>
    </w:r>
    <w:r>
      <w:rPr>
        <w:b/>
        <w:noProof/>
        <w:sz w:val="18"/>
      </w:rPr>
      <w:t>6</w:t>
    </w:r>
    <w:r w:rsidRPr="00672C59">
      <w:rPr>
        <w:b/>
        <w:noProof/>
        <w:sz w:val="18"/>
      </w:rPr>
      <w:fldChar w:fldCharType="end"/>
    </w:r>
    <w:r w:rsidRPr="00672C59">
      <w:rPr>
        <w:sz w:val="18"/>
      </w:rPr>
      <w:t xml:space="preserve">   |</w:t>
    </w:r>
    <w:r>
      <w:rPr>
        <w:sz w:val="18"/>
      </w:rPr>
      <w:tab/>
    </w:r>
    <w:r w:rsidRPr="00672C59">
      <w:rPr>
        <w:sz w:val="18"/>
      </w:rPr>
      <w:t xml:space="preserve">ONE PERCENT WAIVER EXTENSION REQUEST | </w:t>
    </w:r>
    <w:r>
      <w:rPr>
        <w:sz w:val="18"/>
      </w:rPr>
      <w:tab/>
      <w:t xml:space="preserve">November </w:t>
    </w:r>
    <w:r w:rsidR="00AE2D03">
      <w:rPr>
        <w:sz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DE868" w14:textId="77777777" w:rsidR="00A7758B" w:rsidRDefault="00A7758B" w:rsidP="00191E6E">
      <w:r>
        <w:separator/>
      </w:r>
    </w:p>
  </w:footnote>
  <w:footnote w:type="continuationSeparator" w:id="0">
    <w:p w14:paraId="59A2B9C8" w14:textId="77777777" w:rsidR="00A7758B" w:rsidRDefault="00A7758B" w:rsidP="00191E6E">
      <w:r>
        <w:continuationSeparator/>
      </w:r>
    </w:p>
  </w:footnote>
  <w:footnote w:type="continuationNotice" w:id="1">
    <w:p w14:paraId="5F71A1F6" w14:textId="77777777" w:rsidR="00A7758B" w:rsidRDefault="00A7758B" w:rsidP="00191E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59830"/>
      <w:docPartObj>
        <w:docPartGallery w:val="Watermarks"/>
        <w:docPartUnique/>
      </w:docPartObj>
    </w:sdtPr>
    <w:sdtEndPr/>
    <w:sdtContent>
      <w:p w14:paraId="62FAABBE" w14:textId="7357602C" w:rsidR="00F40FD4" w:rsidRPr="009C05AB" w:rsidRDefault="00A7758B" w:rsidP="009C05AB">
        <w:pPr>
          <w:pStyle w:val="Header"/>
        </w:pPr>
        <w:r>
          <w:rPr>
            <w:noProof/>
          </w:rPr>
          <w:pict w14:anchorId="702B88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6C43"/>
    <w:multiLevelType w:val="hybridMultilevel"/>
    <w:tmpl w:val="4F98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75D02"/>
    <w:multiLevelType w:val="hybridMultilevel"/>
    <w:tmpl w:val="7E843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012483"/>
    <w:multiLevelType w:val="hybridMultilevel"/>
    <w:tmpl w:val="A50C488A"/>
    <w:lvl w:ilvl="0" w:tplc="A52873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C7601"/>
    <w:multiLevelType w:val="hybridMultilevel"/>
    <w:tmpl w:val="92A0821C"/>
    <w:lvl w:ilvl="0" w:tplc="04090001">
      <w:start w:val="1"/>
      <w:numFmt w:val="bullet"/>
      <w:lvlText w:val=""/>
      <w:lvlJc w:val="left"/>
      <w:pPr>
        <w:ind w:left="2223" w:hanging="360"/>
      </w:pPr>
      <w:rPr>
        <w:rFonts w:ascii="Symbol" w:hAnsi="Symbol" w:hint="default"/>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4" w15:restartNumberingAfterBreak="0">
    <w:nsid w:val="0D9533D4"/>
    <w:multiLevelType w:val="hybridMultilevel"/>
    <w:tmpl w:val="F3A23ECA"/>
    <w:lvl w:ilvl="0" w:tplc="310C02B4">
      <w:start w:val="5"/>
      <w:numFmt w:val="upperLetter"/>
      <w:lvlText w:val="%1."/>
      <w:lvlJc w:val="left"/>
      <w:pPr>
        <w:tabs>
          <w:tab w:val="num" w:pos="720"/>
        </w:tabs>
        <w:ind w:left="720" w:hanging="360"/>
      </w:pPr>
    </w:lvl>
    <w:lvl w:ilvl="1" w:tplc="FB941B3E" w:tentative="1">
      <w:start w:val="1"/>
      <w:numFmt w:val="upperLetter"/>
      <w:lvlText w:val="%2."/>
      <w:lvlJc w:val="left"/>
      <w:pPr>
        <w:tabs>
          <w:tab w:val="num" w:pos="1440"/>
        </w:tabs>
        <w:ind w:left="1440" w:hanging="360"/>
      </w:pPr>
    </w:lvl>
    <w:lvl w:ilvl="2" w:tplc="6BB0CF5A" w:tentative="1">
      <w:start w:val="1"/>
      <w:numFmt w:val="upperLetter"/>
      <w:lvlText w:val="%3."/>
      <w:lvlJc w:val="left"/>
      <w:pPr>
        <w:tabs>
          <w:tab w:val="num" w:pos="2160"/>
        </w:tabs>
        <w:ind w:left="2160" w:hanging="360"/>
      </w:pPr>
    </w:lvl>
    <w:lvl w:ilvl="3" w:tplc="70584546" w:tentative="1">
      <w:start w:val="1"/>
      <w:numFmt w:val="upperLetter"/>
      <w:lvlText w:val="%4."/>
      <w:lvlJc w:val="left"/>
      <w:pPr>
        <w:tabs>
          <w:tab w:val="num" w:pos="2880"/>
        </w:tabs>
        <w:ind w:left="2880" w:hanging="360"/>
      </w:pPr>
    </w:lvl>
    <w:lvl w:ilvl="4" w:tplc="EAE295A6" w:tentative="1">
      <w:start w:val="1"/>
      <w:numFmt w:val="upperLetter"/>
      <w:lvlText w:val="%5."/>
      <w:lvlJc w:val="left"/>
      <w:pPr>
        <w:tabs>
          <w:tab w:val="num" w:pos="3600"/>
        </w:tabs>
        <w:ind w:left="3600" w:hanging="360"/>
      </w:pPr>
    </w:lvl>
    <w:lvl w:ilvl="5" w:tplc="9DCE7F9E" w:tentative="1">
      <w:start w:val="1"/>
      <w:numFmt w:val="upperLetter"/>
      <w:lvlText w:val="%6."/>
      <w:lvlJc w:val="left"/>
      <w:pPr>
        <w:tabs>
          <w:tab w:val="num" w:pos="4320"/>
        </w:tabs>
        <w:ind w:left="4320" w:hanging="360"/>
      </w:pPr>
    </w:lvl>
    <w:lvl w:ilvl="6" w:tplc="437A0EB4" w:tentative="1">
      <w:start w:val="1"/>
      <w:numFmt w:val="upperLetter"/>
      <w:lvlText w:val="%7."/>
      <w:lvlJc w:val="left"/>
      <w:pPr>
        <w:tabs>
          <w:tab w:val="num" w:pos="5040"/>
        </w:tabs>
        <w:ind w:left="5040" w:hanging="360"/>
      </w:pPr>
    </w:lvl>
    <w:lvl w:ilvl="7" w:tplc="79B8FC7C" w:tentative="1">
      <w:start w:val="1"/>
      <w:numFmt w:val="upperLetter"/>
      <w:lvlText w:val="%8."/>
      <w:lvlJc w:val="left"/>
      <w:pPr>
        <w:tabs>
          <w:tab w:val="num" w:pos="5760"/>
        </w:tabs>
        <w:ind w:left="5760" w:hanging="360"/>
      </w:pPr>
    </w:lvl>
    <w:lvl w:ilvl="8" w:tplc="C4A23204" w:tentative="1">
      <w:start w:val="1"/>
      <w:numFmt w:val="upperLetter"/>
      <w:lvlText w:val="%9."/>
      <w:lvlJc w:val="left"/>
      <w:pPr>
        <w:tabs>
          <w:tab w:val="num" w:pos="6480"/>
        </w:tabs>
        <w:ind w:left="6480" w:hanging="360"/>
      </w:pPr>
    </w:lvl>
  </w:abstractNum>
  <w:abstractNum w:abstractNumId="5" w15:restartNumberingAfterBreak="0">
    <w:nsid w:val="0FCE118E"/>
    <w:multiLevelType w:val="hybridMultilevel"/>
    <w:tmpl w:val="57EEC228"/>
    <w:lvl w:ilvl="0" w:tplc="3BA459F0">
      <w:start w:val="10"/>
      <w:numFmt w:val="upperLetter"/>
      <w:lvlText w:val="%1."/>
      <w:lvlJc w:val="left"/>
      <w:pPr>
        <w:tabs>
          <w:tab w:val="num" w:pos="720"/>
        </w:tabs>
        <w:ind w:left="720" w:hanging="360"/>
      </w:pPr>
    </w:lvl>
    <w:lvl w:ilvl="1" w:tplc="D27801B8" w:tentative="1">
      <w:start w:val="1"/>
      <w:numFmt w:val="upperLetter"/>
      <w:lvlText w:val="%2."/>
      <w:lvlJc w:val="left"/>
      <w:pPr>
        <w:tabs>
          <w:tab w:val="num" w:pos="1440"/>
        </w:tabs>
        <w:ind w:left="1440" w:hanging="360"/>
      </w:pPr>
    </w:lvl>
    <w:lvl w:ilvl="2" w:tplc="65D8906C" w:tentative="1">
      <w:start w:val="1"/>
      <w:numFmt w:val="upperLetter"/>
      <w:lvlText w:val="%3."/>
      <w:lvlJc w:val="left"/>
      <w:pPr>
        <w:tabs>
          <w:tab w:val="num" w:pos="2160"/>
        </w:tabs>
        <w:ind w:left="2160" w:hanging="360"/>
      </w:pPr>
    </w:lvl>
    <w:lvl w:ilvl="3" w:tplc="F97A5C0A" w:tentative="1">
      <w:start w:val="1"/>
      <w:numFmt w:val="upperLetter"/>
      <w:lvlText w:val="%4."/>
      <w:lvlJc w:val="left"/>
      <w:pPr>
        <w:tabs>
          <w:tab w:val="num" w:pos="2880"/>
        </w:tabs>
        <w:ind w:left="2880" w:hanging="360"/>
      </w:pPr>
    </w:lvl>
    <w:lvl w:ilvl="4" w:tplc="737AACA8" w:tentative="1">
      <w:start w:val="1"/>
      <w:numFmt w:val="upperLetter"/>
      <w:lvlText w:val="%5."/>
      <w:lvlJc w:val="left"/>
      <w:pPr>
        <w:tabs>
          <w:tab w:val="num" w:pos="3600"/>
        </w:tabs>
        <w:ind w:left="3600" w:hanging="360"/>
      </w:pPr>
    </w:lvl>
    <w:lvl w:ilvl="5" w:tplc="14F41C00" w:tentative="1">
      <w:start w:val="1"/>
      <w:numFmt w:val="upperLetter"/>
      <w:lvlText w:val="%6."/>
      <w:lvlJc w:val="left"/>
      <w:pPr>
        <w:tabs>
          <w:tab w:val="num" w:pos="4320"/>
        </w:tabs>
        <w:ind w:left="4320" w:hanging="360"/>
      </w:pPr>
    </w:lvl>
    <w:lvl w:ilvl="6" w:tplc="B5F031AA" w:tentative="1">
      <w:start w:val="1"/>
      <w:numFmt w:val="upperLetter"/>
      <w:lvlText w:val="%7."/>
      <w:lvlJc w:val="left"/>
      <w:pPr>
        <w:tabs>
          <w:tab w:val="num" w:pos="5040"/>
        </w:tabs>
        <w:ind w:left="5040" w:hanging="360"/>
      </w:pPr>
    </w:lvl>
    <w:lvl w:ilvl="7" w:tplc="9EB8A170" w:tentative="1">
      <w:start w:val="1"/>
      <w:numFmt w:val="upperLetter"/>
      <w:lvlText w:val="%8."/>
      <w:lvlJc w:val="left"/>
      <w:pPr>
        <w:tabs>
          <w:tab w:val="num" w:pos="5760"/>
        </w:tabs>
        <w:ind w:left="5760" w:hanging="360"/>
      </w:pPr>
    </w:lvl>
    <w:lvl w:ilvl="8" w:tplc="E1529C34" w:tentative="1">
      <w:start w:val="1"/>
      <w:numFmt w:val="upperLetter"/>
      <w:lvlText w:val="%9."/>
      <w:lvlJc w:val="left"/>
      <w:pPr>
        <w:tabs>
          <w:tab w:val="num" w:pos="6480"/>
        </w:tabs>
        <w:ind w:left="6480" w:hanging="360"/>
      </w:pPr>
    </w:lvl>
  </w:abstractNum>
  <w:abstractNum w:abstractNumId="6" w15:restartNumberingAfterBreak="0">
    <w:nsid w:val="109D1406"/>
    <w:multiLevelType w:val="hybridMultilevel"/>
    <w:tmpl w:val="B76E8594"/>
    <w:lvl w:ilvl="0" w:tplc="F49C864C">
      <w:start w:val="13"/>
      <w:numFmt w:val="upperLetter"/>
      <w:lvlText w:val="%1."/>
      <w:lvlJc w:val="left"/>
      <w:pPr>
        <w:tabs>
          <w:tab w:val="num" w:pos="720"/>
        </w:tabs>
        <w:ind w:left="720" w:hanging="360"/>
      </w:pPr>
    </w:lvl>
    <w:lvl w:ilvl="1" w:tplc="7E8C34F4" w:tentative="1">
      <w:start w:val="1"/>
      <w:numFmt w:val="upperLetter"/>
      <w:lvlText w:val="%2."/>
      <w:lvlJc w:val="left"/>
      <w:pPr>
        <w:tabs>
          <w:tab w:val="num" w:pos="1440"/>
        </w:tabs>
        <w:ind w:left="1440" w:hanging="360"/>
      </w:pPr>
    </w:lvl>
    <w:lvl w:ilvl="2" w:tplc="F42A8A1C" w:tentative="1">
      <w:start w:val="1"/>
      <w:numFmt w:val="upperLetter"/>
      <w:lvlText w:val="%3."/>
      <w:lvlJc w:val="left"/>
      <w:pPr>
        <w:tabs>
          <w:tab w:val="num" w:pos="2160"/>
        </w:tabs>
        <w:ind w:left="2160" w:hanging="360"/>
      </w:pPr>
    </w:lvl>
    <w:lvl w:ilvl="3" w:tplc="BF64D732" w:tentative="1">
      <w:start w:val="1"/>
      <w:numFmt w:val="upperLetter"/>
      <w:lvlText w:val="%4."/>
      <w:lvlJc w:val="left"/>
      <w:pPr>
        <w:tabs>
          <w:tab w:val="num" w:pos="2880"/>
        </w:tabs>
        <w:ind w:left="2880" w:hanging="360"/>
      </w:pPr>
    </w:lvl>
    <w:lvl w:ilvl="4" w:tplc="22FA4DF8" w:tentative="1">
      <w:start w:val="1"/>
      <w:numFmt w:val="upperLetter"/>
      <w:lvlText w:val="%5."/>
      <w:lvlJc w:val="left"/>
      <w:pPr>
        <w:tabs>
          <w:tab w:val="num" w:pos="3600"/>
        </w:tabs>
        <w:ind w:left="3600" w:hanging="360"/>
      </w:pPr>
    </w:lvl>
    <w:lvl w:ilvl="5" w:tplc="90D01DDA" w:tentative="1">
      <w:start w:val="1"/>
      <w:numFmt w:val="upperLetter"/>
      <w:lvlText w:val="%6."/>
      <w:lvlJc w:val="left"/>
      <w:pPr>
        <w:tabs>
          <w:tab w:val="num" w:pos="4320"/>
        </w:tabs>
        <w:ind w:left="4320" w:hanging="360"/>
      </w:pPr>
    </w:lvl>
    <w:lvl w:ilvl="6" w:tplc="9F7E1AC8" w:tentative="1">
      <w:start w:val="1"/>
      <w:numFmt w:val="upperLetter"/>
      <w:lvlText w:val="%7."/>
      <w:lvlJc w:val="left"/>
      <w:pPr>
        <w:tabs>
          <w:tab w:val="num" w:pos="5040"/>
        </w:tabs>
        <w:ind w:left="5040" w:hanging="360"/>
      </w:pPr>
    </w:lvl>
    <w:lvl w:ilvl="7" w:tplc="C6F8904A" w:tentative="1">
      <w:start w:val="1"/>
      <w:numFmt w:val="upperLetter"/>
      <w:lvlText w:val="%8."/>
      <w:lvlJc w:val="left"/>
      <w:pPr>
        <w:tabs>
          <w:tab w:val="num" w:pos="5760"/>
        </w:tabs>
        <w:ind w:left="5760" w:hanging="360"/>
      </w:pPr>
    </w:lvl>
    <w:lvl w:ilvl="8" w:tplc="CF741C56" w:tentative="1">
      <w:start w:val="1"/>
      <w:numFmt w:val="upperLetter"/>
      <w:lvlText w:val="%9."/>
      <w:lvlJc w:val="left"/>
      <w:pPr>
        <w:tabs>
          <w:tab w:val="num" w:pos="6480"/>
        </w:tabs>
        <w:ind w:left="6480" w:hanging="360"/>
      </w:pPr>
    </w:lvl>
  </w:abstractNum>
  <w:abstractNum w:abstractNumId="7" w15:restartNumberingAfterBreak="0">
    <w:nsid w:val="11936DB2"/>
    <w:multiLevelType w:val="hybridMultilevel"/>
    <w:tmpl w:val="3A485480"/>
    <w:lvl w:ilvl="0" w:tplc="90D017FA">
      <w:start w:val="7"/>
      <w:numFmt w:val="upperLetter"/>
      <w:lvlText w:val="%1."/>
      <w:lvlJc w:val="left"/>
      <w:pPr>
        <w:tabs>
          <w:tab w:val="num" w:pos="720"/>
        </w:tabs>
        <w:ind w:left="720" w:hanging="360"/>
      </w:pPr>
    </w:lvl>
    <w:lvl w:ilvl="1" w:tplc="5A1EBD9E" w:tentative="1">
      <w:start w:val="1"/>
      <w:numFmt w:val="upperLetter"/>
      <w:lvlText w:val="%2."/>
      <w:lvlJc w:val="left"/>
      <w:pPr>
        <w:tabs>
          <w:tab w:val="num" w:pos="1440"/>
        </w:tabs>
        <w:ind w:left="1440" w:hanging="360"/>
      </w:pPr>
    </w:lvl>
    <w:lvl w:ilvl="2" w:tplc="E050FC0E" w:tentative="1">
      <w:start w:val="1"/>
      <w:numFmt w:val="upperLetter"/>
      <w:lvlText w:val="%3."/>
      <w:lvlJc w:val="left"/>
      <w:pPr>
        <w:tabs>
          <w:tab w:val="num" w:pos="2160"/>
        </w:tabs>
        <w:ind w:left="2160" w:hanging="360"/>
      </w:pPr>
    </w:lvl>
    <w:lvl w:ilvl="3" w:tplc="337218AE" w:tentative="1">
      <w:start w:val="1"/>
      <w:numFmt w:val="upperLetter"/>
      <w:lvlText w:val="%4."/>
      <w:lvlJc w:val="left"/>
      <w:pPr>
        <w:tabs>
          <w:tab w:val="num" w:pos="2880"/>
        </w:tabs>
        <w:ind w:left="2880" w:hanging="360"/>
      </w:pPr>
    </w:lvl>
    <w:lvl w:ilvl="4" w:tplc="250A31E0" w:tentative="1">
      <w:start w:val="1"/>
      <w:numFmt w:val="upperLetter"/>
      <w:lvlText w:val="%5."/>
      <w:lvlJc w:val="left"/>
      <w:pPr>
        <w:tabs>
          <w:tab w:val="num" w:pos="3600"/>
        </w:tabs>
        <w:ind w:left="3600" w:hanging="360"/>
      </w:pPr>
    </w:lvl>
    <w:lvl w:ilvl="5" w:tplc="BBA43C0C" w:tentative="1">
      <w:start w:val="1"/>
      <w:numFmt w:val="upperLetter"/>
      <w:lvlText w:val="%6."/>
      <w:lvlJc w:val="left"/>
      <w:pPr>
        <w:tabs>
          <w:tab w:val="num" w:pos="4320"/>
        </w:tabs>
        <w:ind w:left="4320" w:hanging="360"/>
      </w:pPr>
    </w:lvl>
    <w:lvl w:ilvl="6" w:tplc="243C9A24" w:tentative="1">
      <w:start w:val="1"/>
      <w:numFmt w:val="upperLetter"/>
      <w:lvlText w:val="%7."/>
      <w:lvlJc w:val="left"/>
      <w:pPr>
        <w:tabs>
          <w:tab w:val="num" w:pos="5040"/>
        </w:tabs>
        <w:ind w:left="5040" w:hanging="360"/>
      </w:pPr>
    </w:lvl>
    <w:lvl w:ilvl="7" w:tplc="C1BCFC46" w:tentative="1">
      <w:start w:val="1"/>
      <w:numFmt w:val="upperLetter"/>
      <w:lvlText w:val="%8."/>
      <w:lvlJc w:val="left"/>
      <w:pPr>
        <w:tabs>
          <w:tab w:val="num" w:pos="5760"/>
        </w:tabs>
        <w:ind w:left="5760" w:hanging="360"/>
      </w:pPr>
    </w:lvl>
    <w:lvl w:ilvl="8" w:tplc="AB8E0612" w:tentative="1">
      <w:start w:val="1"/>
      <w:numFmt w:val="upperLetter"/>
      <w:lvlText w:val="%9."/>
      <w:lvlJc w:val="left"/>
      <w:pPr>
        <w:tabs>
          <w:tab w:val="num" w:pos="6480"/>
        </w:tabs>
        <w:ind w:left="6480" w:hanging="360"/>
      </w:pPr>
    </w:lvl>
  </w:abstractNum>
  <w:abstractNum w:abstractNumId="8" w15:restartNumberingAfterBreak="0">
    <w:nsid w:val="27870FE1"/>
    <w:multiLevelType w:val="hybridMultilevel"/>
    <w:tmpl w:val="D40673F6"/>
    <w:lvl w:ilvl="0" w:tplc="18FCE062">
      <w:start w:val="14"/>
      <w:numFmt w:val="upperLetter"/>
      <w:lvlText w:val="%1."/>
      <w:lvlJc w:val="left"/>
      <w:pPr>
        <w:tabs>
          <w:tab w:val="num" w:pos="720"/>
        </w:tabs>
        <w:ind w:left="720" w:hanging="360"/>
      </w:pPr>
    </w:lvl>
    <w:lvl w:ilvl="1" w:tplc="B02C1696" w:tentative="1">
      <w:start w:val="1"/>
      <w:numFmt w:val="upperLetter"/>
      <w:lvlText w:val="%2."/>
      <w:lvlJc w:val="left"/>
      <w:pPr>
        <w:tabs>
          <w:tab w:val="num" w:pos="1440"/>
        </w:tabs>
        <w:ind w:left="1440" w:hanging="360"/>
      </w:pPr>
    </w:lvl>
    <w:lvl w:ilvl="2" w:tplc="CD2C884A" w:tentative="1">
      <w:start w:val="1"/>
      <w:numFmt w:val="upperLetter"/>
      <w:lvlText w:val="%3."/>
      <w:lvlJc w:val="left"/>
      <w:pPr>
        <w:tabs>
          <w:tab w:val="num" w:pos="2160"/>
        </w:tabs>
        <w:ind w:left="2160" w:hanging="360"/>
      </w:pPr>
    </w:lvl>
    <w:lvl w:ilvl="3" w:tplc="12FED75E" w:tentative="1">
      <w:start w:val="1"/>
      <w:numFmt w:val="upperLetter"/>
      <w:lvlText w:val="%4."/>
      <w:lvlJc w:val="left"/>
      <w:pPr>
        <w:tabs>
          <w:tab w:val="num" w:pos="2880"/>
        </w:tabs>
        <w:ind w:left="2880" w:hanging="360"/>
      </w:pPr>
    </w:lvl>
    <w:lvl w:ilvl="4" w:tplc="AE822068" w:tentative="1">
      <w:start w:val="1"/>
      <w:numFmt w:val="upperLetter"/>
      <w:lvlText w:val="%5."/>
      <w:lvlJc w:val="left"/>
      <w:pPr>
        <w:tabs>
          <w:tab w:val="num" w:pos="3600"/>
        </w:tabs>
        <w:ind w:left="3600" w:hanging="360"/>
      </w:pPr>
    </w:lvl>
    <w:lvl w:ilvl="5" w:tplc="9DD46D06" w:tentative="1">
      <w:start w:val="1"/>
      <w:numFmt w:val="upperLetter"/>
      <w:lvlText w:val="%6."/>
      <w:lvlJc w:val="left"/>
      <w:pPr>
        <w:tabs>
          <w:tab w:val="num" w:pos="4320"/>
        </w:tabs>
        <w:ind w:left="4320" w:hanging="360"/>
      </w:pPr>
    </w:lvl>
    <w:lvl w:ilvl="6" w:tplc="E286E5A6" w:tentative="1">
      <w:start w:val="1"/>
      <w:numFmt w:val="upperLetter"/>
      <w:lvlText w:val="%7."/>
      <w:lvlJc w:val="left"/>
      <w:pPr>
        <w:tabs>
          <w:tab w:val="num" w:pos="5040"/>
        </w:tabs>
        <w:ind w:left="5040" w:hanging="360"/>
      </w:pPr>
    </w:lvl>
    <w:lvl w:ilvl="7" w:tplc="D5525DC6" w:tentative="1">
      <w:start w:val="1"/>
      <w:numFmt w:val="upperLetter"/>
      <w:lvlText w:val="%8."/>
      <w:lvlJc w:val="left"/>
      <w:pPr>
        <w:tabs>
          <w:tab w:val="num" w:pos="5760"/>
        </w:tabs>
        <w:ind w:left="5760" w:hanging="360"/>
      </w:pPr>
    </w:lvl>
    <w:lvl w:ilvl="8" w:tplc="FF54CA3E" w:tentative="1">
      <w:start w:val="1"/>
      <w:numFmt w:val="upperLetter"/>
      <w:lvlText w:val="%9."/>
      <w:lvlJc w:val="left"/>
      <w:pPr>
        <w:tabs>
          <w:tab w:val="num" w:pos="6480"/>
        </w:tabs>
        <w:ind w:left="6480" w:hanging="360"/>
      </w:pPr>
    </w:lvl>
  </w:abstractNum>
  <w:abstractNum w:abstractNumId="9" w15:restartNumberingAfterBreak="0">
    <w:nsid w:val="2D7D4EC8"/>
    <w:multiLevelType w:val="hybridMultilevel"/>
    <w:tmpl w:val="1F625886"/>
    <w:lvl w:ilvl="0" w:tplc="3F6CA6B0">
      <w:start w:val="8"/>
      <w:numFmt w:val="upperLetter"/>
      <w:lvlText w:val="%1."/>
      <w:lvlJc w:val="left"/>
      <w:pPr>
        <w:tabs>
          <w:tab w:val="num" w:pos="720"/>
        </w:tabs>
        <w:ind w:left="720" w:hanging="360"/>
      </w:pPr>
    </w:lvl>
    <w:lvl w:ilvl="1" w:tplc="26A02FAC" w:tentative="1">
      <w:start w:val="1"/>
      <w:numFmt w:val="upperLetter"/>
      <w:lvlText w:val="%2."/>
      <w:lvlJc w:val="left"/>
      <w:pPr>
        <w:tabs>
          <w:tab w:val="num" w:pos="1440"/>
        </w:tabs>
        <w:ind w:left="1440" w:hanging="360"/>
      </w:pPr>
    </w:lvl>
    <w:lvl w:ilvl="2" w:tplc="29DC2BC2" w:tentative="1">
      <w:start w:val="1"/>
      <w:numFmt w:val="upperLetter"/>
      <w:lvlText w:val="%3."/>
      <w:lvlJc w:val="left"/>
      <w:pPr>
        <w:tabs>
          <w:tab w:val="num" w:pos="2160"/>
        </w:tabs>
        <w:ind w:left="2160" w:hanging="360"/>
      </w:pPr>
    </w:lvl>
    <w:lvl w:ilvl="3" w:tplc="23BC49FE" w:tentative="1">
      <w:start w:val="1"/>
      <w:numFmt w:val="upperLetter"/>
      <w:lvlText w:val="%4."/>
      <w:lvlJc w:val="left"/>
      <w:pPr>
        <w:tabs>
          <w:tab w:val="num" w:pos="2880"/>
        </w:tabs>
        <w:ind w:left="2880" w:hanging="360"/>
      </w:pPr>
    </w:lvl>
    <w:lvl w:ilvl="4" w:tplc="E6AA8570" w:tentative="1">
      <w:start w:val="1"/>
      <w:numFmt w:val="upperLetter"/>
      <w:lvlText w:val="%5."/>
      <w:lvlJc w:val="left"/>
      <w:pPr>
        <w:tabs>
          <w:tab w:val="num" w:pos="3600"/>
        </w:tabs>
        <w:ind w:left="3600" w:hanging="360"/>
      </w:pPr>
    </w:lvl>
    <w:lvl w:ilvl="5" w:tplc="9112DE88" w:tentative="1">
      <w:start w:val="1"/>
      <w:numFmt w:val="upperLetter"/>
      <w:lvlText w:val="%6."/>
      <w:lvlJc w:val="left"/>
      <w:pPr>
        <w:tabs>
          <w:tab w:val="num" w:pos="4320"/>
        </w:tabs>
        <w:ind w:left="4320" w:hanging="360"/>
      </w:pPr>
    </w:lvl>
    <w:lvl w:ilvl="6" w:tplc="8E889748" w:tentative="1">
      <w:start w:val="1"/>
      <w:numFmt w:val="upperLetter"/>
      <w:lvlText w:val="%7."/>
      <w:lvlJc w:val="left"/>
      <w:pPr>
        <w:tabs>
          <w:tab w:val="num" w:pos="5040"/>
        </w:tabs>
        <w:ind w:left="5040" w:hanging="360"/>
      </w:pPr>
    </w:lvl>
    <w:lvl w:ilvl="7" w:tplc="364209CA" w:tentative="1">
      <w:start w:val="1"/>
      <w:numFmt w:val="upperLetter"/>
      <w:lvlText w:val="%8."/>
      <w:lvlJc w:val="left"/>
      <w:pPr>
        <w:tabs>
          <w:tab w:val="num" w:pos="5760"/>
        </w:tabs>
        <w:ind w:left="5760" w:hanging="360"/>
      </w:pPr>
    </w:lvl>
    <w:lvl w:ilvl="8" w:tplc="FA7E6660" w:tentative="1">
      <w:start w:val="1"/>
      <w:numFmt w:val="upperLetter"/>
      <w:lvlText w:val="%9."/>
      <w:lvlJc w:val="left"/>
      <w:pPr>
        <w:tabs>
          <w:tab w:val="num" w:pos="6480"/>
        </w:tabs>
        <w:ind w:left="6480" w:hanging="360"/>
      </w:pPr>
    </w:lvl>
  </w:abstractNum>
  <w:abstractNum w:abstractNumId="10" w15:restartNumberingAfterBreak="0">
    <w:nsid w:val="31D33798"/>
    <w:multiLevelType w:val="hybridMultilevel"/>
    <w:tmpl w:val="5DEEE656"/>
    <w:lvl w:ilvl="0" w:tplc="21ECBDEC">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9110D"/>
    <w:multiLevelType w:val="hybridMultilevel"/>
    <w:tmpl w:val="BE86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376AF"/>
    <w:multiLevelType w:val="hybridMultilevel"/>
    <w:tmpl w:val="E716FB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02E8E"/>
    <w:multiLevelType w:val="hybridMultilevel"/>
    <w:tmpl w:val="DEB8E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561F2F"/>
    <w:multiLevelType w:val="hybridMultilevel"/>
    <w:tmpl w:val="2508EAF6"/>
    <w:lvl w:ilvl="0" w:tplc="1BBC7D78">
      <w:start w:val="3"/>
      <w:numFmt w:val="upperLetter"/>
      <w:lvlText w:val="%1."/>
      <w:lvlJc w:val="left"/>
      <w:pPr>
        <w:tabs>
          <w:tab w:val="num" w:pos="720"/>
        </w:tabs>
        <w:ind w:left="720" w:hanging="360"/>
      </w:pPr>
    </w:lvl>
    <w:lvl w:ilvl="1" w:tplc="D4DA3E88" w:tentative="1">
      <w:start w:val="1"/>
      <w:numFmt w:val="upperLetter"/>
      <w:lvlText w:val="%2."/>
      <w:lvlJc w:val="left"/>
      <w:pPr>
        <w:tabs>
          <w:tab w:val="num" w:pos="1440"/>
        </w:tabs>
        <w:ind w:left="1440" w:hanging="360"/>
      </w:pPr>
    </w:lvl>
    <w:lvl w:ilvl="2" w:tplc="343E83EA" w:tentative="1">
      <w:start w:val="1"/>
      <w:numFmt w:val="upperLetter"/>
      <w:lvlText w:val="%3."/>
      <w:lvlJc w:val="left"/>
      <w:pPr>
        <w:tabs>
          <w:tab w:val="num" w:pos="2160"/>
        </w:tabs>
        <w:ind w:left="2160" w:hanging="360"/>
      </w:pPr>
    </w:lvl>
    <w:lvl w:ilvl="3" w:tplc="2BCA4AC0" w:tentative="1">
      <w:start w:val="1"/>
      <w:numFmt w:val="upperLetter"/>
      <w:lvlText w:val="%4."/>
      <w:lvlJc w:val="left"/>
      <w:pPr>
        <w:tabs>
          <w:tab w:val="num" w:pos="2880"/>
        </w:tabs>
        <w:ind w:left="2880" w:hanging="360"/>
      </w:pPr>
    </w:lvl>
    <w:lvl w:ilvl="4" w:tplc="00CE4EAA" w:tentative="1">
      <w:start w:val="1"/>
      <w:numFmt w:val="upperLetter"/>
      <w:lvlText w:val="%5."/>
      <w:lvlJc w:val="left"/>
      <w:pPr>
        <w:tabs>
          <w:tab w:val="num" w:pos="3600"/>
        </w:tabs>
        <w:ind w:left="3600" w:hanging="360"/>
      </w:pPr>
    </w:lvl>
    <w:lvl w:ilvl="5" w:tplc="293E7D98" w:tentative="1">
      <w:start w:val="1"/>
      <w:numFmt w:val="upperLetter"/>
      <w:lvlText w:val="%6."/>
      <w:lvlJc w:val="left"/>
      <w:pPr>
        <w:tabs>
          <w:tab w:val="num" w:pos="4320"/>
        </w:tabs>
        <w:ind w:left="4320" w:hanging="360"/>
      </w:pPr>
    </w:lvl>
    <w:lvl w:ilvl="6" w:tplc="BA7A5C72" w:tentative="1">
      <w:start w:val="1"/>
      <w:numFmt w:val="upperLetter"/>
      <w:lvlText w:val="%7."/>
      <w:lvlJc w:val="left"/>
      <w:pPr>
        <w:tabs>
          <w:tab w:val="num" w:pos="5040"/>
        </w:tabs>
        <w:ind w:left="5040" w:hanging="360"/>
      </w:pPr>
    </w:lvl>
    <w:lvl w:ilvl="7" w:tplc="15F6C406" w:tentative="1">
      <w:start w:val="1"/>
      <w:numFmt w:val="upperLetter"/>
      <w:lvlText w:val="%8."/>
      <w:lvlJc w:val="left"/>
      <w:pPr>
        <w:tabs>
          <w:tab w:val="num" w:pos="5760"/>
        </w:tabs>
        <w:ind w:left="5760" w:hanging="360"/>
      </w:pPr>
    </w:lvl>
    <w:lvl w:ilvl="8" w:tplc="ACC220B4" w:tentative="1">
      <w:start w:val="1"/>
      <w:numFmt w:val="upperLetter"/>
      <w:lvlText w:val="%9."/>
      <w:lvlJc w:val="left"/>
      <w:pPr>
        <w:tabs>
          <w:tab w:val="num" w:pos="6480"/>
        </w:tabs>
        <w:ind w:left="6480" w:hanging="360"/>
      </w:pPr>
    </w:lvl>
  </w:abstractNum>
  <w:abstractNum w:abstractNumId="15" w15:restartNumberingAfterBreak="0">
    <w:nsid w:val="42033994"/>
    <w:multiLevelType w:val="multilevel"/>
    <w:tmpl w:val="4FAC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BA4BBB"/>
    <w:multiLevelType w:val="hybridMultilevel"/>
    <w:tmpl w:val="F0D25322"/>
    <w:lvl w:ilvl="0" w:tplc="DD98A4F8">
      <w:start w:val="1"/>
      <w:numFmt w:val="bullet"/>
      <w:lvlText w:val=""/>
      <w:lvlJc w:val="left"/>
      <w:pPr>
        <w:tabs>
          <w:tab w:val="num" w:pos="720"/>
        </w:tabs>
        <w:ind w:left="720" w:hanging="360"/>
      </w:pPr>
      <w:rPr>
        <w:rFonts w:ascii="Symbol" w:hAnsi="Symbol" w:hint="default"/>
        <w:sz w:val="20"/>
      </w:rPr>
    </w:lvl>
    <w:lvl w:ilvl="1" w:tplc="45AC582C" w:tentative="1">
      <w:start w:val="1"/>
      <w:numFmt w:val="bullet"/>
      <w:lvlText w:val="o"/>
      <w:lvlJc w:val="left"/>
      <w:pPr>
        <w:tabs>
          <w:tab w:val="num" w:pos="1440"/>
        </w:tabs>
        <w:ind w:left="1440" w:hanging="360"/>
      </w:pPr>
      <w:rPr>
        <w:rFonts w:ascii="Courier New" w:hAnsi="Courier New" w:hint="default"/>
        <w:sz w:val="20"/>
      </w:rPr>
    </w:lvl>
    <w:lvl w:ilvl="2" w:tplc="151666DC" w:tentative="1">
      <w:start w:val="1"/>
      <w:numFmt w:val="bullet"/>
      <w:lvlText w:val=""/>
      <w:lvlJc w:val="left"/>
      <w:pPr>
        <w:tabs>
          <w:tab w:val="num" w:pos="2160"/>
        </w:tabs>
        <w:ind w:left="2160" w:hanging="360"/>
      </w:pPr>
      <w:rPr>
        <w:rFonts w:ascii="Wingdings" w:hAnsi="Wingdings" w:hint="default"/>
        <w:sz w:val="20"/>
      </w:rPr>
    </w:lvl>
    <w:lvl w:ilvl="3" w:tplc="8E64301C" w:tentative="1">
      <w:start w:val="1"/>
      <w:numFmt w:val="bullet"/>
      <w:lvlText w:val=""/>
      <w:lvlJc w:val="left"/>
      <w:pPr>
        <w:tabs>
          <w:tab w:val="num" w:pos="2880"/>
        </w:tabs>
        <w:ind w:left="2880" w:hanging="360"/>
      </w:pPr>
      <w:rPr>
        <w:rFonts w:ascii="Wingdings" w:hAnsi="Wingdings" w:hint="default"/>
        <w:sz w:val="20"/>
      </w:rPr>
    </w:lvl>
    <w:lvl w:ilvl="4" w:tplc="2D92A0DE" w:tentative="1">
      <w:start w:val="1"/>
      <w:numFmt w:val="bullet"/>
      <w:lvlText w:val=""/>
      <w:lvlJc w:val="left"/>
      <w:pPr>
        <w:tabs>
          <w:tab w:val="num" w:pos="3600"/>
        </w:tabs>
        <w:ind w:left="3600" w:hanging="360"/>
      </w:pPr>
      <w:rPr>
        <w:rFonts w:ascii="Wingdings" w:hAnsi="Wingdings" w:hint="default"/>
        <w:sz w:val="20"/>
      </w:rPr>
    </w:lvl>
    <w:lvl w:ilvl="5" w:tplc="DBF02E7C" w:tentative="1">
      <w:start w:val="1"/>
      <w:numFmt w:val="bullet"/>
      <w:lvlText w:val=""/>
      <w:lvlJc w:val="left"/>
      <w:pPr>
        <w:tabs>
          <w:tab w:val="num" w:pos="4320"/>
        </w:tabs>
        <w:ind w:left="4320" w:hanging="360"/>
      </w:pPr>
      <w:rPr>
        <w:rFonts w:ascii="Wingdings" w:hAnsi="Wingdings" w:hint="default"/>
        <w:sz w:val="20"/>
      </w:rPr>
    </w:lvl>
    <w:lvl w:ilvl="6" w:tplc="C1823B0A" w:tentative="1">
      <w:start w:val="1"/>
      <w:numFmt w:val="bullet"/>
      <w:lvlText w:val=""/>
      <w:lvlJc w:val="left"/>
      <w:pPr>
        <w:tabs>
          <w:tab w:val="num" w:pos="5040"/>
        </w:tabs>
        <w:ind w:left="5040" w:hanging="360"/>
      </w:pPr>
      <w:rPr>
        <w:rFonts w:ascii="Wingdings" w:hAnsi="Wingdings" w:hint="default"/>
        <w:sz w:val="20"/>
      </w:rPr>
    </w:lvl>
    <w:lvl w:ilvl="7" w:tplc="44CC9296" w:tentative="1">
      <w:start w:val="1"/>
      <w:numFmt w:val="bullet"/>
      <w:lvlText w:val=""/>
      <w:lvlJc w:val="left"/>
      <w:pPr>
        <w:tabs>
          <w:tab w:val="num" w:pos="5760"/>
        </w:tabs>
        <w:ind w:left="5760" w:hanging="360"/>
      </w:pPr>
      <w:rPr>
        <w:rFonts w:ascii="Wingdings" w:hAnsi="Wingdings" w:hint="default"/>
        <w:sz w:val="20"/>
      </w:rPr>
    </w:lvl>
    <w:lvl w:ilvl="8" w:tplc="240E7F2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EE2C11"/>
    <w:multiLevelType w:val="hybridMultilevel"/>
    <w:tmpl w:val="96D263E6"/>
    <w:lvl w:ilvl="0" w:tplc="52B44840">
      <w:start w:val="12"/>
      <w:numFmt w:val="upperLetter"/>
      <w:lvlText w:val="%1."/>
      <w:lvlJc w:val="left"/>
      <w:pPr>
        <w:tabs>
          <w:tab w:val="num" w:pos="720"/>
        </w:tabs>
        <w:ind w:left="720" w:hanging="360"/>
      </w:pPr>
    </w:lvl>
    <w:lvl w:ilvl="1" w:tplc="312A6BC8" w:tentative="1">
      <w:start w:val="1"/>
      <w:numFmt w:val="upperLetter"/>
      <w:lvlText w:val="%2."/>
      <w:lvlJc w:val="left"/>
      <w:pPr>
        <w:tabs>
          <w:tab w:val="num" w:pos="1440"/>
        </w:tabs>
        <w:ind w:left="1440" w:hanging="360"/>
      </w:pPr>
    </w:lvl>
    <w:lvl w:ilvl="2" w:tplc="45D202C6" w:tentative="1">
      <w:start w:val="1"/>
      <w:numFmt w:val="upperLetter"/>
      <w:lvlText w:val="%3."/>
      <w:lvlJc w:val="left"/>
      <w:pPr>
        <w:tabs>
          <w:tab w:val="num" w:pos="2160"/>
        </w:tabs>
        <w:ind w:left="2160" w:hanging="360"/>
      </w:pPr>
    </w:lvl>
    <w:lvl w:ilvl="3" w:tplc="A40E3766" w:tentative="1">
      <w:start w:val="1"/>
      <w:numFmt w:val="upperLetter"/>
      <w:lvlText w:val="%4."/>
      <w:lvlJc w:val="left"/>
      <w:pPr>
        <w:tabs>
          <w:tab w:val="num" w:pos="2880"/>
        </w:tabs>
        <w:ind w:left="2880" w:hanging="360"/>
      </w:pPr>
    </w:lvl>
    <w:lvl w:ilvl="4" w:tplc="A9D02342" w:tentative="1">
      <w:start w:val="1"/>
      <w:numFmt w:val="upperLetter"/>
      <w:lvlText w:val="%5."/>
      <w:lvlJc w:val="left"/>
      <w:pPr>
        <w:tabs>
          <w:tab w:val="num" w:pos="3600"/>
        </w:tabs>
        <w:ind w:left="3600" w:hanging="360"/>
      </w:pPr>
    </w:lvl>
    <w:lvl w:ilvl="5" w:tplc="2432EE5A" w:tentative="1">
      <w:start w:val="1"/>
      <w:numFmt w:val="upperLetter"/>
      <w:lvlText w:val="%6."/>
      <w:lvlJc w:val="left"/>
      <w:pPr>
        <w:tabs>
          <w:tab w:val="num" w:pos="4320"/>
        </w:tabs>
        <w:ind w:left="4320" w:hanging="360"/>
      </w:pPr>
    </w:lvl>
    <w:lvl w:ilvl="6" w:tplc="B0566FE2" w:tentative="1">
      <w:start w:val="1"/>
      <w:numFmt w:val="upperLetter"/>
      <w:lvlText w:val="%7."/>
      <w:lvlJc w:val="left"/>
      <w:pPr>
        <w:tabs>
          <w:tab w:val="num" w:pos="5040"/>
        </w:tabs>
        <w:ind w:left="5040" w:hanging="360"/>
      </w:pPr>
    </w:lvl>
    <w:lvl w:ilvl="7" w:tplc="983837D6" w:tentative="1">
      <w:start w:val="1"/>
      <w:numFmt w:val="upperLetter"/>
      <w:lvlText w:val="%8."/>
      <w:lvlJc w:val="left"/>
      <w:pPr>
        <w:tabs>
          <w:tab w:val="num" w:pos="5760"/>
        </w:tabs>
        <w:ind w:left="5760" w:hanging="360"/>
      </w:pPr>
    </w:lvl>
    <w:lvl w:ilvl="8" w:tplc="6DFCD99E" w:tentative="1">
      <w:start w:val="1"/>
      <w:numFmt w:val="upperLetter"/>
      <w:lvlText w:val="%9."/>
      <w:lvlJc w:val="left"/>
      <w:pPr>
        <w:tabs>
          <w:tab w:val="num" w:pos="6480"/>
        </w:tabs>
        <w:ind w:left="6480" w:hanging="360"/>
      </w:pPr>
    </w:lvl>
  </w:abstractNum>
  <w:abstractNum w:abstractNumId="18" w15:restartNumberingAfterBreak="0">
    <w:nsid w:val="47357E25"/>
    <w:multiLevelType w:val="hybridMultilevel"/>
    <w:tmpl w:val="2E16588C"/>
    <w:lvl w:ilvl="0" w:tplc="071AF12A">
      <w:start w:val="1"/>
      <w:numFmt w:val="decimal"/>
      <w:lvlText w:val="%1."/>
      <w:lvlJc w:val="left"/>
      <w:pPr>
        <w:ind w:left="1440" w:hanging="360"/>
      </w:pPr>
      <w:rPr>
        <w:rFonts w:ascii="Arial" w:hAnsi="Arial" w:cs="Arial" w:hint="default"/>
        <w:b w:val="0"/>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479D26A6"/>
    <w:multiLevelType w:val="hybridMultilevel"/>
    <w:tmpl w:val="EA1A8768"/>
    <w:lvl w:ilvl="0" w:tplc="EAF67CAA">
      <w:start w:val="9"/>
      <w:numFmt w:val="upperLetter"/>
      <w:lvlText w:val="%1."/>
      <w:lvlJc w:val="left"/>
      <w:pPr>
        <w:tabs>
          <w:tab w:val="num" w:pos="720"/>
        </w:tabs>
        <w:ind w:left="720" w:hanging="360"/>
      </w:pPr>
    </w:lvl>
    <w:lvl w:ilvl="1" w:tplc="F516DB96" w:tentative="1">
      <w:start w:val="1"/>
      <w:numFmt w:val="upperLetter"/>
      <w:lvlText w:val="%2."/>
      <w:lvlJc w:val="left"/>
      <w:pPr>
        <w:tabs>
          <w:tab w:val="num" w:pos="1440"/>
        </w:tabs>
        <w:ind w:left="1440" w:hanging="360"/>
      </w:pPr>
    </w:lvl>
    <w:lvl w:ilvl="2" w:tplc="C2802712" w:tentative="1">
      <w:start w:val="1"/>
      <w:numFmt w:val="upperLetter"/>
      <w:lvlText w:val="%3."/>
      <w:lvlJc w:val="left"/>
      <w:pPr>
        <w:tabs>
          <w:tab w:val="num" w:pos="2160"/>
        </w:tabs>
        <w:ind w:left="2160" w:hanging="360"/>
      </w:pPr>
    </w:lvl>
    <w:lvl w:ilvl="3" w:tplc="49C0D266" w:tentative="1">
      <w:start w:val="1"/>
      <w:numFmt w:val="upperLetter"/>
      <w:lvlText w:val="%4."/>
      <w:lvlJc w:val="left"/>
      <w:pPr>
        <w:tabs>
          <w:tab w:val="num" w:pos="2880"/>
        </w:tabs>
        <w:ind w:left="2880" w:hanging="360"/>
      </w:pPr>
    </w:lvl>
    <w:lvl w:ilvl="4" w:tplc="2222C8D6" w:tentative="1">
      <w:start w:val="1"/>
      <w:numFmt w:val="upperLetter"/>
      <w:lvlText w:val="%5."/>
      <w:lvlJc w:val="left"/>
      <w:pPr>
        <w:tabs>
          <w:tab w:val="num" w:pos="3600"/>
        </w:tabs>
        <w:ind w:left="3600" w:hanging="360"/>
      </w:pPr>
    </w:lvl>
    <w:lvl w:ilvl="5" w:tplc="34CA775C" w:tentative="1">
      <w:start w:val="1"/>
      <w:numFmt w:val="upperLetter"/>
      <w:lvlText w:val="%6."/>
      <w:lvlJc w:val="left"/>
      <w:pPr>
        <w:tabs>
          <w:tab w:val="num" w:pos="4320"/>
        </w:tabs>
        <w:ind w:left="4320" w:hanging="360"/>
      </w:pPr>
    </w:lvl>
    <w:lvl w:ilvl="6" w:tplc="9DA41EBC" w:tentative="1">
      <w:start w:val="1"/>
      <w:numFmt w:val="upperLetter"/>
      <w:lvlText w:val="%7."/>
      <w:lvlJc w:val="left"/>
      <w:pPr>
        <w:tabs>
          <w:tab w:val="num" w:pos="5040"/>
        </w:tabs>
        <w:ind w:left="5040" w:hanging="360"/>
      </w:pPr>
    </w:lvl>
    <w:lvl w:ilvl="7" w:tplc="9AD0AF4A" w:tentative="1">
      <w:start w:val="1"/>
      <w:numFmt w:val="upperLetter"/>
      <w:lvlText w:val="%8."/>
      <w:lvlJc w:val="left"/>
      <w:pPr>
        <w:tabs>
          <w:tab w:val="num" w:pos="5760"/>
        </w:tabs>
        <w:ind w:left="5760" w:hanging="360"/>
      </w:pPr>
    </w:lvl>
    <w:lvl w:ilvl="8" w:tplc="5EB83EA2" w:tentative="1">
      <w:start w:val="1"/>
      <w:numFmt w:val="upperLetter"/>
      <w:lvlText w:val="%9."/>
      <w:lvlJc w:val="left"/>
      <w:pPr>
        <w:tabs>
          <w:tab w:val="num" w:pos="6480"/>
        </w:tabs>
        <w:ind w:left="6480" w:hanging="360"/>
      </w:pPr>
    </w:lvl>
  </w:abstractNum>
  <w:abstractNum w:abstractNumId="20" w15:restartNumberingAfterBreak="0">
    <w:nsid w:val="4AF270E2"/>
    <w:multiLevelType w:val="hybridMultilevel"/>
    <w:tmpl w:val="9EB8A0CE"/>
    <w:lvl w:ilvl="0" w:tplc="5746A022">
      <w:start w:val="2"/>
      <w:numFmt w:val="upperLetter"/>
      <w:lvlText w:val="%1."/>
      <w:lvlJc w:val="left"/>
      <w:pPr>
        <w:tabs>
          <w:tab w:val="num" w:pos="720"/>
        </w:tabs>
        <w:ind w:left="720" w:hanging="360"/>
      </w:pPr>
    </w:lvl>
    <w:lvl w:ilvl="1" w:tplc="CD2A7DA0" w:tentative="1">
      <w:start w:val="1"/>
      <w:numFmt w:val="upperLetter"/>
      <w:lvlText w:val="%2."/>
      <w:lvlJc w:val="left"/>
      <w:pPr>
        <w:tabs>
          <w:tab w:val="num" w:pos="1440"/>
        </w:tabs>
        <w:ind w:left="1440" w:hanging="360"/>
      </w:pPr>
    </w:lvl>
    <w:lvl w:ilvl="2" w:tplc="FC781A4A" w:tentative="1">
      <w:start w:val="1"/>
      <w:numFmt w:val="upperLetter"/>
      <w:lvlText w:val="%3."/>
      <w:lvlJc w:val="left"/>
      <w:pPr>
        <w:tabs>
          <w:tab w:val="num" w:pos="2160"/>
        </w:tabs>
        <w:ind w:left="2160" w:hanging="360"/>
      </w:pPr>
    </w:lvl>
    <w:lvl w:ilvl="3" w:tplc="FF24AB5E" w:tentative="1">
      <w:start w:val="1"/>
      <w:numFmt w:val="upperLetter"/>
      <w:lvlText w:val="%4."/>
      <w:lvlJc w:val="left"/>
      <w:pPr>
        <w:tabs>
          <w:tab w:val="num" w:pos="2880"/>
        </w:tabs>
        <w:ind w:left="2880" w:hanging="360"/>
      </w:pPr>
    </w:lvl>
    <w:lvl w:ilvl="4" w:tplc="E0DAA776" w:tentative="1">
      <w:start w:val="1"/>
      <w:numFmt w:val="upperLetter"/>
      <w:lvlText w:val="%5."/>
      <w:lvlJc w:val="left"/>
      <w:pPr>
        <w:tabs>
          <w:tab w:val="num" w:pos="3600"/>
        </w:tabs>
        <w:ind w:left="3600" w:hanging="360"/>
      </w:pPr>
    </w:lvl>
    <w:lvl w:ilvl="5" w:tplc="D58C1E8A" w:tentative="1">
      <w:start w:val="1"/>
      <w:numFmt w:val="upperLetter"/>
      <w:lvlText w:val="%6."/>
      <w:lvlJc w:val="left"/>
      <w:pPr>
        <w:tabs>
          <w:tab w:val="num" w:pos="4320"/>
        </w:tabs>
        <w:ind w:left="4320" w:hanging="360"/>
      </w:pPr>
    </w:lvl>
    <w:lvl w:ilvl="6" w:tplc="DC58D9F2" w:tentative="1">
      <w:start w:val="1"/>
      <w:numFmt w:val="upperLetter"/>
      <w:lvlText w:val="%7."/>
      <w:lvlJc w:val="left"/>
      <w:pPr>
        <w:tabs>
          <w:tab w:val="num" w:pos="5040"/>
        </w:tabs>
        <w:ind w:left="5040" w:hanging="360"/>
      </w:pPr>
    </w:lvl>
    <w:lvl w:ilvl="7" w:tplc="D15A2992" w:tentative="1">
      <w:start w:val="1"/>
      <w:numFmt w:val="upperLetter"/>
      <w:lvlText w:val="%8."/>
      <w:lvlJc w:val="left"/>
      <w:pPr>
        <w:tabs>
          <w:tab w:val="num" w:pos="5760"/>
        </w:tabs>
        <w:ind w:left="5760" w:hanging="360"/>
      </w:pPr>
    </w:lvl>
    <w:lvl w:ilvl="8" w:tplc="0E18FA6A" w:tentative="1">
      <w:start w:val="1"/>
      <w:numFmt w:val="upperLetter"/>
      <w:lvlText w:val="%9."/>
      <w:lvlJc w:val="left"/>
      <w:pPr>
        <w:tabs>
          <w:tab w:val="num" w:pos="6480"/>
        </w:tabs>
        <w:ind w:left="6480" w:hanging="360"/>
      </w:pPr>
    </w:lvl>
  </w:abstractNum>
  <w:abstractNum w:abstractNumId="21" w15:restartNumberingAfterBreak="0">
    <w:nsid w:val="4C371D28"/>
    <w:multiLevelType w:val="hybridMultilevel"/>
    <w:tmpl w:val="A02082FA"/>
    <w:lvl w:ilvl="0" w:tplc="572497A0">
      <w:start w:val="4"/>
      <w:numFmt w:val="upperLetter"/>
      <w:lvlText w:val="%1."/>
      <w:lvlJc w:val="left"/>
      <w:pPr>
        <w:tabs>
          <w:tab w:val="num" w:pos="720"/>
        </w:tabs>
        <w:ind w:left="720" w:hanging="360"/>
      </w:pPr>
    </w:lvl>
    <w:lvl w:ilvl="1" w:tplc="6C903330" w:tentative="1">
      <w:start w:val="1"/>
      <w:numFmt w:val="upperLetter"/>
      <w:lvlText w:val="%2."/>
      <w:lvlJc w:val="left"/>
      <w:pPr>
        <w:tabs>
          <w:tab w:val="num" w:pos="1440"/>
        </w:tabs>
        <w:ind w:left="1440" w:hanging="360"/>
      </w:pPr>
    </w:lvl>
    <w:lvl w:ilvl="2" w:tplc="191EDB52" w:tentative="1">
      <w:start w:val="1"/>
      <w:numFmt w:val="upperLetter"/>
      <w:lvlText w:val="%3."/>
      <w:lvlJc w:val="left"/>
      <w:pPr>
        <w:tabs>
          <w:tab w:val="num" w:pos="2160"/>
        </w:tabs>
        <w:ind w:left="2160" w:hanging="360"/>
      </w:pPr>
    </w:lvl>
    <w:lvl w:ilvl="3" w:tplc="7C1CA42A" w:tentative="1">
      <w:start w:val="1"/>
      <w:numFmt w:val="upperLetter"/>
      <w:lvlText w:val="%4."/>
      <w:lvlJc w:val="left"/>
      <w:pPr>
        <w:tabs>
          <w:tab w:val="num" w:pos="2880"/>
        </w:tabs>
        <w:ind w:left="2880" w:hanging="360"/>
      </w:pPr>
    </w:lvl>
    <w:lvl w:ilvl="4" w:tplc="4EA2F73E" w:tentative="1">
      <w:start w:val="1"/>
      <w:numFmt w:val="upperLetter"/>
      <w:lvlText w:val="%5."/>
      <w:lvlJc w:val="left"/>
      <w:pPr>
        <w:tabs>
          <w:tab w:val="num" w:pos="3600"/>
        </w:tabs>
        <w:ind w:left="3600" w:hanging="360"/>
      </w:pPr>
    </w:lvl>
    <w:lvl w:ilvl="5" w:tplc="BA30346A" w:tentative="1">
      <w:start w:val="1"/>
      <w:numFmt w:val="upperLetter"/>
      <w:lvlText w:val="%6."/>
      <w:lvlJc w:val="left"/>
      <w:pPr>
        <w:tabs>
          <w:tab w:val="num" w:pos="4320"/>
        </w:tabs>
        <w:ind w:left="4320" w:hanging="360"/>
      </w:pPr>
    </w:lvl>
    <w:lvl w:ilvl="6" w:tplc="4C56EC78" w:tentative="1">
      <w:start w:val="1"/>
      <w:numFmt w:val="upperLetter"/>
      <w:lvlText w:val="%7."/>
      <w:lvlJc w:val="left"/>
      <w:pPr>
        <w:tabs>
          <w:tab w:val="num" w:pos="5040"/>
        </w:tabs>
        <w:ind w:left="5040" w:hanging="360"/>
      </w:pPr>
    </w:lvl>
    <w:lvl w:ilvl="7" w:tplc="4AF28D46" w:tentative="1">
      <w:start w:val="1"/>
      <w:numFmt w:val="upperLetter"/>
      <w:lvlText w:val="%8."/>
      <w:lvlJc w:val="left"/>
      <w:pPr>
        <w:tabs>
          <w:tab w:val="num" w:pos="5760"/>
        </w:tabs>
        <w:ind w:left="5760" w:hanging="360"/>
      </w:pPr>
    </w:lvl>
    <w:lvl w:ilvl="8" w:tplc="57E6AC28" w:tentative="1">
      <w:start w:val="1"/>
      <w:numFmt w:val="upperLetter"/>
      <w:lvlText w:val="%9."/>
      <w:lvlJc w:val="left"/>
      <w:pPr>
        <w:tabs>
          <w:tab w:val="num" w:pos="6480"/>
        </w:tabs>
        <w:ind w:left="6480" w:hanging="360"/>
      </w:pPr>
    </w:lvl>
  </w:abstractNum>
  <w:abstractNum w:abstractNumId="22" w15:restartNumberingAfterBreak="0">
    <w:nsid w:val="500F25B5"/>
    <w:multiLevelType w:val="hybridMultilevel"/>
    <w:tmpl w:val="AC222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430CE"/>
    <w:multiLevelType w:val="hybridMultilevel"/>
    <w:tmpl w:val="2E04A902"/>
    <w:lvl w:ilvl="0" w:tplc="90D47D42">
      <w:start w:val="11"/>
      <w:numFmt w:val="upperLetter"/>
      <w:lvlText w:val="%1."/>
      <w:lvlJc w:val="left"/>
      <w:pPr>
        <w:tabs>
          <w:tab w:val="num" w:pos="720"/>
        </w:tabs>
        <w:ind w:left="720" w:hanging="360"/>
      </w:pPr>
    </w:lvl>
    <w:lvl w:ilvl="1" w:tplc="E21871F0" w:tentative="1">
      <w:start w:val="1"/>
      <w:numFmt w:val="upperLetter"/>
      <w:lvlText w:val="%2."/>
      <w:lvlJc w:val="left"/>
      <w:pPr>
        <w:tabs>
          <w:tab w:val="num" w:pos="1440"/>
        </w:tabs>
        <w:ind w:left="1440" w:hanging="360"/>
      </w:pPr>
    </w:lvl>
    <w:lvl w:ilvl="2" w:tplc="A1B88696" w:tentative="1">
      <w:start w:val="1"/>
      <w:numFmt w:val="upperLetter"/>
      <w:lvlText w:val="%3."/>
      <w:lvlJc w:val="left"/>
      <w:pPr>
        <w:tabs>
          <w:tab w:val="num" w:pos="2160"/>
        </w:tabs>
        <w:ind w:left="2160" w:hanging="360"/>
      </w:pPr>
    </w:lvl>
    <w:lvl w:ilvl="3" w:tplc="94CE2FDC" w:tentative="1">
      <w:start w:val="1"/>
      <w:numFmt w:val="upperLetter"/>
      <w:lvlText w:val="%4."/>
      <w:lvlJc w:val="left"/>
      <w:pPr>
        <w:tabs>
          <w:tab w:val="num" w:pos="2880"/>
        </w:tabs>
        <w:ind w:left="2880" w:hanging="360"/>
      </w:pPr>
    </w:lvl>
    <w:lvl w:ilvl="4" w:tplc="78B678CE" w:tentative="1">
      <w:start w:val="1"/>
      <w:numFmt w:val="upperLetter"/>
      <w:lvlText w:val="%5."/>
      <w:lvlJc w:val="left"/>
      <w:pPr>
        <w:tabs>
          <w:tab w:val="num" w:pos="3600"/>
        </w:tabs>
        <w:ind w:left="3600" w:hanging="360"/>
      </w:pPr>
    </w:lvl>
    <w:lvl w:ilvl="5" w:tplc="F63AD6E2" w:tentative="1">
      <w:start w:val="1"/>
      <w:numFmt w:val="upperLetter"/>
      <w:lvlText w:val="%6."/>
      <w:lvlJc w:val="left"/>
      <w:pPr>
        <w:tabs>
          <w:tab w:val="num" w:pos="4320"/>
        </w:tabs>
        <w:ind w:left="4320" w:hanging="360"/>
      </w:pPr>
    </w:lvl>
    <w:lvl w:ilvl="6" w:tplc="20AEF768" w:tentative="1">
      <w:start w:val="1"/>
      <w:numFmt w:val="upperLetter"/>
      <w:lvlText w:val="%7."/>
      <w:lvlJc w:val="left"/>
      <w:pPr>
        <w:tabs>
          <w:tab w:val="num" w:pos="5040"/>
        </w:tabs>
        <w:ind w:left="5040" w:hanging="360"/>
      </w:pPr>
    </w:lvl>
    <w:lvl w:ilvl="7" w:tplc="073CE78C" w:tentative="1">
      <w:start w:val="1"/>
      <w:numFmt w:val="upperLetter"/>
      <w:lvlText w:val="%8."/>
      <w:lvlJc w:val="left"/>
      <w:pPr>
        <w:tabs>
          <w:tab w:val="num" w:pos="5760"/>
        </w:tabs>
        <w:ind w:left="5760" w:hanging="360"/>
      </w:pPr>
    </w:lvl>
    <w:lvl w:ilvl="8" w:tplc="8AF66FF0" w:tentative="1">
      <w:start w:val="1"/>
      <w:numFmt w:val="upperLetter"/>
      <w:lvlText w:val="%9."/>
      <w:lvlJc w:val="left"/>
      <w:pPr>
        <w:tabs>
          <w:tab w:val="num" w:pos="6480"/>
        </w:tabs>
        <w:ind w:left="6480" w:hanging="360"/>
      </w:pPr>
    </w:lvl>
  </w:abstractNum>
  <w:abstractNum w:abstractNumId="24" w15:restartNumberingAfterBreak="0">
    <w:nsid w:val="59D57F5D"/>
    <w:multiLevelType w:val="hybridMultilevel"/>
    <w:tmpl w:val="2E16588C"/>
    <w:lvl w:ilvl="0" w:tplc="071AF12A">
      <w:start w:val="1"/>
      <w:numFmt w:val="decimal"/>
      <w:lvlText w:val="%1."/>
      <w:lvlJc w:val="left"/>
      <w:pPr>
        <w:ind w:left="1440" w:hanging="360"/>
      </w:pPr>
      <w:rPr>
        <w:rFonts w:ascii="Arial" w:hAnsi="Arial" w:cs="Arial" w:hint="default"/>
        <w:b w:val="0"/>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5C741556"/>
    <w:multiLevelType w:val="hybridMultilevel"/>
    <w:tmpl w:val="4D287582"/>
    <w:lvl w:ilvl="0" w:tplc="071AF12A">
      <w:start w:val="1"/>
      <w:numFmt w:val="decimal"/>
      <w:lvlText w:val="%1."/>
      <w:lvlJc w:val="left"/>
      <w:pPr>
        <w:ind w:left="1440" w:hanging="360"/>
      </w:pPr>
      <w:rPr>
        <w:rFonts w:ascii="Arial"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A968A6"/>
    <w:multiLevelType w:val="hybridMultilevel"/>
    <w:tmpl w:val="F3CA2DA8"/>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7" w15:restartNumberingAfterBreak="0">
    <w:nsid w:val="62AE704A"/>
    <w:multiLevelType w:val="hybridMultilevel"/>
    <w:tmpl w:val="FD20561A"/>
    <w:lvl w:ilvl="0" w:tplc="7B1433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55D2C"/>
    <w:multiLevelType w:val="hybridMultilevel"/>
    <w:tmpl w:val="3F94A216"/>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460AD"/>
    <w:multiLevelType w:val="hybridMultilevel"/>
    <w:tmpl w:val="54104B0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0" w15:restartNumberingAfterBreak="0">
    <w:nsid w:val="66A21CBB"/>
    <w:multiLevelType w:val="hybridMultilevel"/>
    <w:tmpl w:val="CE8EB614"/>
    <w:lvl w:ilvl="0" w:tplc="68A03EF0">
      <w:start w:val="2"/>
      <w:numFmt w:val="upperLetter"/>
      <w:lvlText w:val="%1."/>
      <w:lvlJc w:val="left"/>
      <w:pPr>
        <w:tabs>
          <w:tab w:val="num" w:pos="720"/>
        </w:tabs>
        <w:ind w:left="720" w:hanging="360"/>
      </w:pPr>
    </w:lvl>
    <w:lvl w:ilvl="1" w:tplc="D8329980" w:tentative="1">
      <w:start w:val="1"/>
      <w:numFmt w:val="upperLetter"/>
      <w:lvlText w:val="%2."/>
      <w:lvlJc w:val="left"/>
      <w:pPr>
        <w:tabs>
          <w:tab w:val="num" w:pos="1440"/>
        </w:tabs>
        <w:ind w:left="1440" w:hanging="360"/>
      </w:pPr>
    </w:lvl>
    <w:lvl w:ilvl="2" w:tplc="5D9CA2A2" w:tentative="1">
      <w:start w:val="1"/>
      <w:numFmt w:val="upperLetter"/>
      <w:lvlText w:val="%3."/>
      <w:lvlJc w:val="left"/>
      <w:pPr>
        <w:tabs>
          <w:tab w:val="num" w:pos="2160"/>
        </w:tabs>
        <w:ind w:left="2160" w:hanging="360"/>
      </w:pPr>
    </w:lvl>
    <w:lvl w:ilvl="3" w:tplc="AE9E4F08" w:tentative="1">
      <w:start w:val="1"/>
      <w:numFmt w:val="upperLetter"/>
      <w:lvlText w:val="%4."/>
      <w:lvlJc w:val="left"/>
      <w:pPr>
        <w:tabs>
          <w:tab w:val="num" w:pos="2880"/>
        </w:tabs>
        <w:ind w:left="2880" w:hanging="360"/>
      </w:pPr>
    </w:lvl>
    <w:lvl w:ilvl="4" w:tplc="7D10411A" w:tentative="1">
      <w:start w:val="1"/>
      <w:numFmt w:val="upperLetter"/>
      <w:lvlText w:val="%5."/>
      <w:lvlJc w:val="left"/>
      <w:pPr>
        <w:tabs>
          <w:tab w:val="num" w:pos="3600"/>
        </w:tabs>
        <w:ind w:left="3600" w:hanging="360"/>
      </w:pPr>
    </w:lvl>
    <w:lvl w:ilvl="5" w:tplc="1610EBB4" w:tentative="1">
      <w:start w:val="1"/>
      <w:numFmt w:val="upperLetter"/>
      <w:lvlText w:val="%6."/>
      <w:lvlJc w:val="left"/>
      <w:pPr>
        <w:tabs>
          <w:tab w:val="num" w:pos="4320"/>
        </w:tabs>
        <w:ind w:left="4320" w:hanging="360"/>
      </w:pPr>
    </w:lvl>
    <w:lvl w:ilvl="6" w:tplc="F6BE6900" w:tentative="1">
      <w:start w:val="1"/>
      <w:numFmt w:val="upperLetter"/>
      <w:lvlText w:val="%7."/>
      <w:lvlJc w:val="left"/>
      <w:pPr>
        <w:tabs>
          <w:tab w:val="num" w:pos="5040"/>
        </w:tabs>
        <w:ind w:left="5040" w:hanging="360"/>
      </w:pPr>
    </w:lvl>
    <w:lvl w:ilvl="7" w:tplc="C3CC165A" w:tentative="1">
      <w:start w:val="1"/>
      <w:numFmt w:val="upperLetter"/>
      <w:lvlText w:val="%8."/>
      <w:lvlJc w:val="left"/>
      <w:pPr>
        <w:tabs>
          <w:tab w:val="num" w:pos="5760"/>
        </w:tabs>
        <w:ind w:left="5760" w:hanging="360"/>
      </w:pPr>
    </w:lvl>
    <w:lvl w:ilvl="8" w:tplc="CD2247B4" w:tentative="1">
      <w:start w:val="1"/>
      <w:numFmt w:val="upperLetter"/>
      <w:lvlText w:val="%9."/>
      <w:lvlJc w:val="left"/>
      <w:pPr>
        <w:tabs>
          <w:tab w:val="num" w:pos="6480"/>
        </w:tabs>
        <w:ind w:left="6480" w:hanging="360"/>
      </w:pPr>
    </w:lvl>
  </w:abstractNum>
  <w:abstractNum w:abstractNumId="31" w15:restartNumberingAfterBreak="0">
    <w:nsid w:val="674B7295"/>
    <w:multiLevelType w:val="multilevel"/>
    <w:tmpl w:val="394EF3F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82360B3"/>
    <w:multiLevelType w:val="hybridMultilevel"/>
    <w:tmpl w:val="78B2ACC4"/>
    <w:lvl w:ilvl="0" w:tplc="9EC4483C">
      <w:start w:val="1"/>
      <w:numFmt w:val="bullet"/>
      <w:lvlText w:val=""/>
      <w:lvlJc w:val="left"/>
      <w:pPr>
        <w:ind w:left="2205" w:hanging="360"/>
      </w:pPr>
      <w:rPr>
        <w:rFonts w:ascii="Symbol" w:hAnsi="Symbol" w:hint="default"/>
        <w:color w:val="000000" w:themeColor="text1"/>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3" w15:restartNumberingAfterBreak="0">
    <w:nsid w:val="687820FE"/>
    <w:multiLevelType w:val="hybridMultilevel"/>
    <w:tmpl w:val="2E16588C"/>
    <w:lvl w:ilvl="0" w:tplc="071AF12A">
      <w:start w:val="1"/>
      <w:numFmt w:val="decimal"/>
      <w:lvlText w:val="%1."/>
      <w:lvlJc w:val="left"/>
      <w:pPr>
        <w:ind w:left="1440" w:hanging="360"/>
      </w:pPr>
      <w:rPr>
        <w:rFonts w:ascii="Arial" w:hAnsi="Arial" w:cs="Arial" w:hint="default"/>
        <w:b w:val="0"/>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6A5A5106"/>
    <w:multiLevelType w:val="hybridMultilevel"/>
    <w:tmpl w:val="0F5E04E8"/>
    <w:lvl w:ilvl="0" w:tplc="754073A6">
      <w:start w:val="1"/>
      <w:numFmt w:val="upperLetter"/>
      <w:lvlText w:val="%1."/>
      <w:lvlJc w:val="left"/>
      <w:pPr>
        <w:tabs>
          <w:tab w:val="num" w:pos="720"/>
        </w:tabs>
        <w:ind w:left="720" w:hanging="360"/>
      </w:pPr>
    </w:lvl>
    <w:lvl w:ilvl="1" w:tplc="30D24B40" w:tentative="1">
      <w:start w:val="1"/>
      <w:numFmt w:val="upperLetter"/>
      <w:lvlText w:val="%2."/>
      <w:lvlJc w:val="left"/>
      <w:pPr>
        <w:tabs>
          <w:tab w:val="num" w:pos="1440"/>
        </w:tabs>
        <w:ind w:left="1440" w:hanging="360"/>
      </w:pPr>
    </w:lvl>
    <w:lvl w:ilvl="2" w:tplc="34C255E8" w:tentative="1">
      <w:start w:val="1"/>
      <w:numFmt w:val="upperLetter"/>
      <w:lvlText w:val="%3."/>
      <w:lvlJc w:val="left"/>
      <w:pPr>
        <w:tabs>
          <w:tab w:val="num" w:pos="2160"/>
        </w:tabs>
        <w:ind w:left="2160" w:hanging="360"/>
      </w:pPr>
    </w:lvl>
    <w:lvl w:ilvl="3" w:tplc="250EF524" w:tentative="1">
      <w:start w:val="1"/>
      <w:numFmt w:val="upperLetter"/>
      <w:lvlText w:val="%4."/>
      <w:lvlJc w:val="left"/>
      <w:pPr>
        <w:tabs>
          <w:tab w:val="num" w:pos="2880"/>
        </w:tabs>
        <w:ind w:left="2880" w:hanging="360"/>
      </w:pPr>
    </w:lvl>
    <w:lvl w:ilvl="4" w:tplc="F5382692" w:tentative="1">
      <w:start w:val="1"/>
      <w:numFmt w:val="upperLetter"/>
      <w:lvlText w:val="%5."/>
      <w:lvlJc w:val="left"/>
      <w:pPr>
        <w:tabs>
          <w:tab w:val="num" w:pos="3600"/>
        </w:tabs>
        <w:ind w:left="3600" w:hanging="360"/>
      </w:pPr>
    </w:lvl>
    <w:lvl w:ilvl="5" w:tplc="2D42BD32" w:tentative="1">
      <w:start w:val="1"/>
      <w:numFmt w:val="upperLetter"/>
      <w:lvlText w:val="%6."/>
      <w:lvlJc w:val="left"/>
      <w:pPr>
        <w:tabs>
          <w:tab w:val="num" w:pos="4320"/>
        </w:tabs>
        <w:ind w:left="4320" w:hanging="360"/>
      </w:pPr>
    </w:lvl>
    <w:lvl w:ilvl="6" w:tplc="BFAA8672" w:tentative="1">
      <w:start w:val="1"/>
      <w:numFmt w:val="upperLetter"/>
      <w:lvlText w:val="%7."/>
      <w:lvlJc w:val="left"/>
      <w:pPr>
        <w:tabs>
          <w:tab w:val="num" w:pos="5040"/>
        </w:tabs>
        <w:ind w:left="5040" w:hanging="360"/>
      </w:pPr>
    </w:lvl>
    <w:lvl w:ilvl="7" w:tplc="3ADA1350" w:tentative="1">
      <w:start w:val="1"/>
      <w:numFmt w:val="upperLetter"/>
      <w:lvlText w:val="%8."/>
      <w:lvlJc w:val="left"/>
      <w:pPr>
        <w:tabs>
          <w:tab w:val="num" w:pos="5760"/>
        </w:tabs>
        <w:ind w:left="5760" w:hanging="360"/>
      </w:pPr>
    </w:lvl>
    <w:lvl w:ilvl="8" w:tplc="5EBA8D80" w:tentative="1">
      <w:start w:val="1"/>
      <w:numFmt w:val="upperLetter"/>
      <w:lvlText w:val="%9."/>
      <w:lvlJc w:val="left"/>
      <w:pPr>
        <w:tabs>
          <w:tab w:val="num" w:pos="6480"/>
        </w:tabs>
        <w:ind w:left="6480" w:hanging="360"/>
      </w:pPr>
    </w:lvl>
  </w:abstractNum>
  <w:abstractNum w:abstractNumId="35" w15:restartNumberingAfterBreak="0">
    <w:nsid w:val="6B03118D"/>
    <w:multiLevelType w:val="multilevel"/>
    <w:tmpl w:val="29060DF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6D3A2B83"/>
    <w:multiLevelType w:val="hybridMultilevel"/>
    <w:tmpl w:val="062E5E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3D163E"/>
    <w:multiLevelType w:val="hybridMultilevel"/>
    <w:tmpl w:val="1924C08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221D8C"/>
    <w:multiLevelType w:val="hybridMultilevel"/>
    <w:tmpl w:val="5AB42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AC3E03"/>
    <w:multiLevelType w:val="hybridMultilevel"/>
    <w:tmpl w:val="900CA7B2"/>
    <w:lvl w:ilvl="0" w:tplc="7E5A9F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EF1DA4"/>
    <w:multiLevelType w:val="hybridMultilevel"/>
    <w:tmpl w:val="CC5C6124"/>
    <w:lvl w:ilvl="0" w:tplc="C2969A54">
      <w:start w:val="6"/>
      <w:numFmt w:val="upperLetter"/>
      <w:lvlText w:val="%1."/>
      <w:lvlJc w:val="left"/>
      <w:pPr>
        <w:tabs>
          <w:tab w:val="num" w:pos="720"/>
        </w:tabs>
        <w:ind w:left="720" w:hanging="360"/>
      </w:pPr>
    </w:lvl>
    <w:lvl w:ilvl="1" w:tplc="217AC498" w:tentative="1">
      <w:start w:val="1"/>
      <w:numFmt w:val="upperLetter"/>
      <w:lvlText w:val="%2."/>
      <w:lvlJc w:val="left"/>
      <w:pPr>
        <w:tabs>
          <w:tab w:val="num" w:pos="1440"/>
        </w:tabs>
        <w:ind w:left="1440" w:hanging="360"/>
      </w:pPr>
    </w:lvl>
    <w:lvl w:ilvl="2" w:tplc="ABD69B5C" w:tentative="1">
      <w:start w:val="1"/>
      <w:numFmt w:val="upperLetter"/>
      <w:lvlText w:val="%3."/>
      <w:lvlJc w:val="left"/>
      <w:pPr>
        <w:tabs>
          <w:tab w:val="num" w:pos="2160"/>
        </w:tabs>
        <w:ind w:left="2160" w:hanging="360"/>
      </w:pPr>
    </w:lvl>
    <w:lvl w:ilvl="3" w:tplc="C16E2652" w:tentative="1">
      <w:start w:val="1"/>
      <w:numFmt w:val="upperLetter"/>
      <w:lvlText w:val="%4."/>
      <w:lvlJc w:val="left"/>
      <w:pPr>
        <w:tabs>
          <w:tab w:val="num" w:pos="2880"/>
        </w:tabs>
        <w:ind w:left="2880" w:hanging="360"/>
      </w:pPr>
    </w:lvl>
    <w:lvl w:ilvl="4" w:tplc="7AD496C8" w:tentative="1">
      <w:start w:val="1"/>
      <w:numFmt w:val="upperLetter"/>
      <w:lvlText w:val="%5."/>
      <w:lvlJc w:val="left"/>
      <w:pPr>
        <w:tabs>
          <w:tab w:val="num" w:pos="3600"/>
        </w:tabs>
        <w:ind w:left="3600" w:hanging="360"/>
      </w:pPr>
    </w:lvl>
    <w:lvl w:ilvl="5" w:tplc="DF0C9136" w:tentative="1">
      <w:start w:val="1"/>
      <w:numFmt w:val="upperLetter"/>
      <w:lvlText w:val="%6."/>
      <w:lvlJc w:val="left"/>
      <w:pPr>
        <w:tabs>
          <w:tab w:val="num" w:pos="4320"/>
        </w:tabs>
        <w:ind w:left="4320" w:hanging="360"/>
      </w:pPr>
    </w:lvl>
    <w:lvl w:ilvl="6" w:tplc="29B09DBC" w:tentative="1">
      <w:start w:val="1"/>
      <w:numFmt w:val="upperLetter"/>
      <w:lvlText w:val="%7."/>
      <w:lvlJc w:val="left"/>
      <w:pPr>
        <w:tabs>
          <w:tab w:val="num" w:pos="5040"/>
        </w:tabs>
        <w:ind w:left="5040" w:hanging="360"/>
      </w:pPr>
    </w:lvl>
    <w:lvl w:ilvl="7" w:tplc="C38090CE" w:tentative="1">
      <w:start w:val="1"/>
      <w:numFmt w:val="upperLetter"/>
      <w:lvlText w:val="%8."/>
      <w:lvlJc w:val="left"/>
      <w:pPr>
        <w:tabs>
          <w:tab w:val="num" w:pos="5760"/>
        </w:tabs>
        <w:ind w:left="5760" w:hanging="360"/>
      </w:pPr>
    </w:lvl>
    <w:lvl w:ilvl="8" w:tplc="D01AEE74" w:tentative="1">
      <w:start w:val="1"/>
      <w:numFmt w:val="upperLetter"/>
      <w:lvlText w:val="%9."/>
      <w:lvlJc w:val="left"/>
      <w:pPr>
        <w:tabs>
          <w:tab w:val="num" w:pos="6480"/>
        </w:tabs>
        <w:ind w:left="6480" w:hanging="360"/>
      </w:pPr>
    </w:lvl>
  </w:abstractNum>
  <w:abstractNum w:abstractNumId="41" w15:restartNumberingAfterBreak="0">
    <w:nsid w:val="74B049BE"/>
    <w:multiLevelType w:val="hybridMultilevel"/>
    <w:tmpl w:val="1504B322"/>
    <w:lvl w:ilvl="0" w:tplc="6B309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544708"/>
    <w:multiLevelType w:val="hybridMultilevel"/>
    <w:tmpl w:val="9DC067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396BF0"/>
    <w:multiLevelType w:val="hybridMultilevel"/>
    <w:tmpl w:val="3D961A90"/>
    <w:lvl w:ilvl="0" w:tplc="071AF12A">
      <w:start w:val="1"/>
      <w:numFmt w:val="decimal"/>
      <w:lvlText w:val="%1."/>
      <w:lvlJc w:val="left"/>
      <w:pPr>
        <w:ind w:left="1440" w:hanging="360"/>
      </w:pPr>
      <w:rPr>
        <w:rFonts w:ascii="Arial"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F510C5"/>
    <w:multiLevelType w:val="hybridMultilevel"/>
    <w:tmpl w:val="5524E134"/>
    <w:lvl w:ilvl="0" w:tplc="11A89A8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98827DF"/>
    <w:multiLevelType w:val="hybridMultilevel"/>
    <w:tmpl w:val="A370A17A"/>
    <w:lvl w:ilvl="0" w:tplc="04090001">
      <w:start w:val="1"/>
      <w:numFmt w:val="bullet"/>
      <w:lvlText w:val=""/>
      <w:lvlJc w:val="left"/>
      <w:pPr>
        <w:ind w:left="765" w:hanging="360"/>
      </w:pPr>
      <w:rPr>
        <w:rFonts w:ascii="Symbol" w:hAnsi="Symbol" w:hint="default"/>
      </w:rPr>
    </w:lvl>
    <w:lvl w:ilvl="1" w:tplc="04090001">
      <w:start w:val="1"/>
      <w:numFmt w:val="bullet"/>
      <w:lvlText w:val=""/>
      <w:lvlJc w:val="left"/>
      <w:pPr>
        <w:ind w:left="1485" w:hanging="360"/>
      </w:pPr>
      <w:rPr>
        <w:rFonts w:ascii="Symbol" w:hAnsi="Symbol" w:hint="default"/>
      </w:rPr>
    </w:lvl>
    <w:lvl w:ilvl="2" w:tplc="04090001">
      <w:start w:val="1"/>
      <w:numFmt w:val="bullet"/>
      <w:lvlText w:val=""/>
      <w:lvlJc w:val="left"/>
      <w:pPr>
        <w:ind w:left="2205" w:hanging="360"/>
      </w:pPr>
      <w:rPr>
        <w:rFonts w:ascii="Symbol" w:hAnsi="Symbol"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6" w15:restartNumberingAfterBreak="0">
    <w:nsid w:val="7CD2551B"/>
    <w:multiLevelType w:val="hybridMultilevel"/>
    <w:tmpl w:val="57224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32"/>
  </w:num>
  <w:num w:numId="4">
    <w:abstractNumId w:val="28"/>
  </w:num>
  <w:num w:numId="5">
    <w:abstractNumId w:val="33"/>
  </w:num>
  <w:num w:numId="6">
    <w:abstractNumId w:val="44"/>
  </w:num>
  <w:num w:numId="7">
    <w:abstractNumId w:val="27"/>
  </w:num>
  <w:num w:numId="8">
    <w:abstractNumId w:val="10"/>
  </w:num>
  <w:num w:numId="9">
    <w:abstractNumId w:val="43"/>
  </w:num>
  <w:num w:numId="10">
    <w:abstractNumId w:val="18"/>
  </w:num>
  <w:num w:numId="11">
    <w:abstractNumId w:val="25"/>
  </w:num>
  <w:num w:numId="12">
    <w:abstractNumId w:val="24"/>
  </w:num>
  <w:num w:numId="13">
    <w:abstractNumId w:val="45"/>
  </w:num>
  <w:num w:numId="14">
    <w:abstractNumId w:val="11"/>
  </w:num>
  <w:num w:numId="15">
    <w:abstractNumId w:val="3"/>
  </w:num>
  <w:num w:numId="16">
    <w:abstractNumId w:val="36"/>
  </w:num>
  <w:num w:numId="17">
    <w:abstractNumId w:val="22"/>
  </w:num>
  <w:num w:numId="18">
    <w:abstractNumId w:val="26"/>
  </w:num>
  <w:num w:numId="19">
    <w:abstractNumId w:val="2"/>
  </w:num>
  <w:num w:numId="20">
    <w:abstractNumId w:val="38"/>
  </w:num>
  <w:num w:numId="21">
    <w:abstractNumId w:val="16"/>
  </w:num>
  <w:num w:numId="22">
    <w:abstractNumId w:val="42"/>
  </w:num>
  <w:num w:numId="23">
    <w:abstractNumId w:val="12"/>
  </w:num>
  <w:num w:numId="24">
    <w:abstractNumId w:val="37"/>
  </w:num>
  <w:num w:numId="25">
    <w:abstractNumId w:val="13"/>
  </w:num>
  <w:num w:numId="26">
    <w:abstractNumId w:val="0"/>
  </w:num>
  <w:num w:numId="27">
    <w:abstractNumId w:val="39"/>
  </w:num>
  <w:num w:numId="28">
    <w:abstractNumId w:val="34"/>
  </w:num>
  <w:num w:numId="29">
    <w:abstractNumId w:val="20"/>
  </w:num>
  <w:num w:numId="30">
    <w:abstractNumId w:val="35"/>
  </w:num>
  <w:num w:numId="31">
    <w:abstractNumId w:val="21"/>
  </w:num>
  <w:num w:numId="32">
    <w:abstractNumId w:val="30"/>
  </w:num>
  <w:num w:numId="33">
    <w:abstractNumId w:val="14"/>
  </w:num>
  <w:num w:numId="34">
    <w:abstractNumId w:val="31"/>
  </w:num>
  <w:num w:numId="35">
    <w:abstractNumId w:val="4"/>
  </w:num>
  <w:num w:numId="36">
    <w:abstractNumId w:val="40"/>
  </w:num>
  <w:num w:numId="37">
    <w:abstractNumId w:val="7"/>
  </w:num>
  <w:num w:numId="38">
    <w:abstractNumId w:val="9"/>
  </w:num>
  <w:num w:numId="39">
    <w:abstractNumId w:val="19"/>
  </w:num>
  <w:num w:numId="40">
    <w:abstractNumId w:val="5"/>
  </w:num>
  <w:num w:numId="41">
    <w:abstractNumId w:val="23"/>
  </w:num>
  <w:num w:numId="42">
    <w:abstractNumId w:val="17"/>
  </w:num>
  <w:num w:numId="43">
    <w:abstractNumId w:val="6"/>
  </w:num>
  <w:num w:numId="44">
    <w:abstractNumId w:val="8"/>
  </w:num>
  <w:num w:numId="45">
    <w:abstractNumId w:val="15"/>
  </w:num>
  <w:num w:numId="46">
    <w:abstractNumId w:val="41"/>
  </w:num>
  <w:num w:numId="47">
    <w:abstractNumId w:val="4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1NDIxNzA1MTIxMzdT0lEKTi0uzszPAykwrgUAykHVUywAAAA="/>
  </w:docVars>
  <w:rsids>
    <w:rsidRoot w:val="002C3584"/>
    <w:rsid w:val="00001FD4"/>
    <w:rsid w:val="00002101"/>
    <w:rsid w:val="00002350"/>
    <w:rsid w:val="00002CDD"/>
    <w:rsid w:val="0000311C"/>
    <w:rsid w:val="000045BC"/>
    <w:rsid w:val="0000499F"/>
    <w:rsid w:val="000053B5"/>
    <w:rsid w:val="000054F9"/>
    <w:rsid w:val="00005BCE"/>
    <w:rsid w:val="00005F32"/>
    <w:rsid w:val="00005F6A"/>
    <w:rsid w:val="00006347"/>
    <w:rsid w:val="000064D1"/>
    <w:rsid w:val="00006FD0"/>
    <w:rsid w:val="00007AC1"/>
    <w:rsid w:val="0001048E"/>
    <w:rsid w:val="00011C8F"/>
    <w:rsid w:val="00012909"/>
    <w:rsid w:val="00012E11"/>
    <w:rsid w:val="000144B9"/>
    <w:rsid w:val="000146BD"/>
    <w:rsid w:val="000151F5"/>
    <w:rsid w:val="00017915"/>
    <w:rsid w:val="000208BA"/>
    <w:rsid w:val="000224A4"/>
    <w:rsid w:val="000227B3"/>
    <w:rsid w:val="00022AA1"/>
    <w:rsid w:val="00022B98"/>
    <w:rsid w:val="0002330C"/>
    <w:rsid w:val="00023950"/>
    <w:rsid w:val="00023D67"/>
    <w:rsid w:val="000241B1"/>
    <w:rsid w:val="00025338"/>
    <w:rsid w:val="00025C98"/>
    <w:rsid w:val="00025E10"/>
    <w:rsid w:val="000261F4"/>
    <w:rsid w:val="000263F8"/>
    <w:rsid w:val="000268EA"/>
    <w:rsid w:val="00027493"/>
    <w:rsid w:val="00027561"/>
    <w:rsid w:val="00030763"/>
    <w:rsid w:val="000307E0"/>
    <w:rsid w:val="000316CD"/>
    <w:rsid w:val="000320C2"/>
    <w:rsid w:val="000329B7"/>
    <w:rsid w:val="00032F09"/>
    <w:rsid w:val="0003318F"/>
    <w:rsid w:val="00033225"/>
    <w:rsid w:val="00033B72"/>
    <w:rsid w:val="000363EC"/>
    <w:rsid w:val="00036EC1"/>
    <w:rsid w:val="0003762C"/>
    <w:rsid w:val="00037835"/>
    <w:rsid w:val="00037EF9"/>
    <w:rsid w:val="00040032"/>
    <w:rsid w:val="0004092E"/>
    <w:rsid w:val="000435A9"/>
    <w:rsid w:val="00043930"/>
    <w:rsid w:val="0004436D"/>
    <w:rsid w:val="00044D2D"/>
    <w:rsid w:val="00045198"/>
    <w:rsid w:val="000454A8"/>
    <w:rsid w:val="00046A29"/>
    <w:rsid w:val="00047D67"/>
    <w:rsid w:val="00050893"/>
    <w:rsid w:val="00050C03"/>
    <w:rsid w:val="00052C5C"/>
    <w:rsid w:val="00052FD3"/>
    <w:rsid w:val="000532D4"/>
    <w:rsid w:val="000534CA"/>
    <w:rsid w:val="000535CD"/>
    <w:rsid w:val="000539EB"/>
    <w:rsid w:val="00053FDF"/>
    <w:rsid w:val="00054F87"/>
    <w:rsid w:val="0005547D"/>
    <w:rsid w:val="00055B4C"/>
    <w:rsid w:val="00056097"/>
    <w:rsid w:val="00056F77"/>
    <w:rsid w:val="0005754C"/>
    <w:rsid w:val="00057E4A"/>
    <w:rsid w:val="00060529"/>
    <w:rsid w:val="00061953"/>
    <w:rsid w:val="00062E82"/>
    <w:rsid w:val="00062FF8"/>
    <w:rsid w:val="0006432D"/>
    <w:rsid w:val="00064666"/>
    <w:rsid w:val="000648EF"/>
    <w:rsid w:val="00064B6A"/>
    <w:rsid w:val="00065C23"/>
    <w:rsid w:val="00065CEA"/>
    <w:rsid w:val="000666C3"/>
    <w:rsid w:val="0006697E"/>
    <w:rsid w:val="00066B9C"/>
    <w:rsid w:val="0007100E"/>
    <w:rsid w:val="000714D0"/>
    <w:rsid w:val="000719EE"/>
    <w:rsid w:val="000720EE"/>
    <w:rsid w:val="00072347"/>
    <w:rsid w:val="00074C27"/>
    <w:rsid w:val="0007571F"/>
    <w:rsid w:val="00075B33"/>
    <w:rsid w:val="00075E00"/>
    <w:rsid w:val="00075F5C"/>
    <w:rsid w:val="000769AC"/>
    <w:rsid w:val="000769D0"/>
    <w:rsid w:val="0007768E"/>
    <w:rsid w:val="000776FE"/>
    <w:rsid w:val="00077B57"/>
    <w:rsid w:val="00080202"/>
    <w:rsid w:val="00080BD9"/>
    <w:rsid w:val="00080E6B"/>
    <w:rsid w:val="000817FA"/>
    <w:rsid w:val="00081C87"/>
    <w:rsid w:val="00081EFC"/>
    <w:rsid w:val="00082733"/>
    <w:rsid w:val="00082C82"/>
    <w:rsid w:val="00083059"/>
    <w:rsid w:val="000840D3"/>
    <w:rsid w:val="00084370"/>
    <w:rsid w:val="00084B15"/>
    <w:rsid w:val="00084B3C"/>
    <w:rsid w:val="00085959"/>
    <w:rsid w:val="00085CDD"/>
    <w:rsid w:val="000865D1"/>
    <w:rsid w:val="000877DA"/>
    <w:rsid w:val="00087E56"/>
    <w:rsid w:val="00090725"/>
    <w:rsid w:val="00091D58"/>
    <w:rsid w:val="00092B25"/>
    <w:rsid w:val="00092DEB"/>
    <w:rsid w:val="000933CB"/>
    <w:rsid w:val="00093E47"/>
    <w:rsid w:val="00094693"/>
    <w:rsid w:val="000954C5"/>
    <w:rsid w:val="00095CBC"/>
    <w:rsid w:val="00097017"/>
    <w:rsid w:val="0009709E"/>
    <w:rsid w:val="000972E4"/>
    <w:rsid w:val="000974EA"/>
    <w:rsid w:val="000975BE"/>
    <w:rsid w:val="00097F3A"/>
    <w:rsid w:val="000A052E"/>
    <w:rsid w:val="000A0DA5"/>
    <w:rsid w:val="000A0F41"/>
    <w:rsid w:val="000A126D"/>
    <w:rsid w:val="000A1514"/>
    <w:rsid w:val="000A1837"/>
    <w:rsid w:val="000A1B2A"/>
    <w:rsid w:val="000A2053"/>
    <w:rsid w:val="000A2340"/>
    <w:rsid w:val="000A25EB"/>
    <w:rsid w:val="000A39C1"/>
    <w:rsid w:val="000A4309"/>
    <w:rsid w:val="000A565B"/>
    <w:rsid w:val="000A66DE"/>
    <w:rsid w:val="000A7DE7"/>
    <w:rsid w:val="000B019C"/>
    <w:rsid w:val="000B0C95"/>
    <w:rsid w:val="000B19D5"/>
    <w:rsid w:val="000B2A06"/>
    <w:rsid w:val="000B382A"/>
    <w:rsid w:val="000B3D81"/>
    <w:rsid w:val="000B51B2"/>
    <w:rsid w:val="000B5265"/>
    <w:rsid w:val="000B5694"/>
    <w:rsid w:val="000B59CE"/>
    <w:rsid w:val="000B71D7"/>
    <w:rsid w:val="000B73C8"/>
    <w:rsid w:val="000C15DD"/>
    <w:rsid w:val="000C16CC"/>
    <w:rsid w:val="000C2E99"/>
    <w:rsid w:val="000C3792"/>
    <w:rsid w:val="000C3BC7"/>
    <w:rsid w:val="000C4A59"/>
    <w:rsid w:val="000C744B"/>
    <w:rsid w:val="000D048E"/>
    <w:rsid w:val="000D0755"/>
    <w:rsid w:val="000D1473"/>
    <w:rsid w:val="000D3CFC"/>
    <w:rsid w:val="000D41D7"/>
    <w:rsid w:val="000D4F14"/>
    <w:rsid w:val="000D5022"/>
    <w:rsid w:val="000D51BF"/>
    <w:rsid w:val="000D529A"/>
    <w:rsid w:val="000D6032"/>
    <w:rsid w:val="000D6523"/>
    <w:rsid w:val="000D6994"/>
    <w:rsid w:val="000D7331"/>
    <w:rsid w:val="000E0B80"/>
    <w:rsid w:val="000E1290"/>
    <w:rsid w:val="000E1523"/>
    <w:rsid w:val="000E2830"/>
    <w:rsid w:val="000E296E"/>
    <w:rsid w:val="000E29E9"/>
    <w:rsid w:val="000E2F4A"/>
    <w:rsid w:val="000E3025"/>
    <w:rsid w:val="000E319A"/>
    <w:rsid w:val="000E356A"/>
    <w:rsid w:val="000E413D"/>
    <w:rsid w:val="000E4F38"/>
    <w:rsid w:val="000E4F91"/>
    <w:rsid w:val="000E5813"/>
    <w:rsid w:val="000E6114"/>
    <w:rsid w:val="000E630B"/>
    <w:rsid w:val="000E77B0"/>
    <w:rsid w:val="000F02C7"/>
    <w:rsid w:val="000F165A"/>
    <w:rsid w:val="000F17B1"/>
    <w:rsid w:val="000F1C5B"/>
    <w:rsid w:val="000F227C"/>
    <w:rsid w:val="000F37B3"/>
    <w:rsid w:val="000F389F"/>
    <w:rsid w:val="000F3AD3"/>
    <w:rsid w:val="000F63F8"/>
    <w:rsid w:val="000F688E"/>
    <w:rsid w:val="000F6A47"/>
    <w:rsid w:val="000F6FBC"/>
    <w:rsid w:val="000F7215"/>
    <w:rsid w:val="000F73A3"/>
    <w:rsid w:val="000F7467"/>
    <w:rsid w:val="000F748F"/>
    <w:rsid w:val="0010053D"/>
    <w:rsid w:val="00100C14"/>
    <w:rsid w:val="00101746"/>
    <w:rsid w:val="00101753"/>
    <w:rsid w:val="00101829"/>
    <w:rsid w:val="00102424"/>
    <w:rsid w:val="00102438"/>
    <w:rsid w:val="001026B9"/>
    <w:rsid w:val="00102A46"/>
    <w:rsid w:val="001031FE"/>
    <w:rsid w:val="00104606"/>
    <w:rsid w:val="00106A55"/>
    <w:rsid w:val="0010743F"/>
    <w:rsid w:val="0010763F"/>
    <w:rsid w:val="0010771A"/>
    <w:rsid w:val="001078D3"/>
    <w:rsid w:val="00107DDC"/>
    <w:rsid w:val="001103C2"/>
    <w:rsid w:val="001104CF"/>
    <w:rsid w:val="001109FC"/>
    <w:rsid w:val="0011192F"/>
    <w:rsid w:val="001119E1"/>
    <w:rsid w:val="001122D3"/>
    <w:rsid w:val="00112C3D"/>
    <w:rsid w:val="0011399F"/>
    <w:rsid w:val="001141E6"/>
    <w:rsid w:val="001155D8"/>
    <w:rsid w:val="0011711C"/>
    <w:rsid w:val="001173FF"/>
    <w:rsid w:val="00120191"/>
    <w:rsid w:val="00120BF4"/>
    <w:rsid w:val="001215B6"/>
    <w:rsid w:val="00121BE0"/>
    <w:rsid w:val="00121E6D"/>
    <w:rsid w:val="00122129"/>
    <w:rsid w:val="00124E3D"/>
    <w:rsid w:val="001269A2"/>
    <w:rsid w:val="00126C3C"/>
    <w:rsid w:val="00126CEC"/>
    <w:rsid w:val="00127637"/>
    <w:rsid w:val="0012774B"/>
    <w:rsid w:val="001277D1"/>
    <w:rsid w:val="0013242A"/>
    <w:rsid w:val="00132816"/>
    <w:rsid w:val="00133067"/>
    <w:rsid w:val="001331D4"/>
    <w:rsid w:val="001331E5"/>
    <w:rsid w:val="001335F9"/>
    <w:rsid w:val="00134045"/>
    <w:rsid w:val="001343AB"/>
    <w:rsid w:val="0013473F"/>
    <w:rsid w:val="00134884"/>
    <w:rsid w:val="00134A3C"/>
    <w:rsid w:val="00135161"/>
    <w:rsid w:val="001364BA"/>
    <w:rsid w:val="00140144"/>
    <w:rsid w:val="00141504"/>
    <w:rsid w:val="001422B5"/>
    <w:rsid w:val="00143455"/>
    <w:rsid w:val="001437A8"/>
    <w:rsid w:val="00144836"/>
    <w:rsid w:val="00144F8F"/>
    <w:rsid w:val="00145941"/>
    <w:rsid w:val="0014684A"/>
    <w:rsid w:val="001471F0"/>
    <w:rsid w:val="00150FE3"/>
    <w:rsid w:val="00151372"/>
    <w:rsid w:val="00151C2C"/>
    <w:rsid w:val="0015295E"/>
    <w:rsid w:val="0015364A"/>
    <w:rsid w:val="001539DB"/>
    <w:rsid w:val="00153B9C"/>
    <w:rsid w:val="00153F38"/>
    <w:rsid w:val="00154727"/>
    <w:rsid w:val="001547E2"/>
    <w:rsid w:val="00155393"/>
    <w:rsid w:val="001560DB"/>
    <w:rsid w:val="0015715C"/>
    <w:rsid w:val="0015727D"/>
    <w:rsid w:val="00160594"/>
    <w:rsid w:val="00161705"/>
    <w:rsid w:val="00161CDD"/>
    <w:rsid w:val="0016214E"/>
    <w:rsid w:val="0016301B"/>
    <w:rsid w:val="001630B5"/>
    <w:rsid w:val="001638BA"/>
    <w:rsid w:val="00163B4B"/>
    <w:rsid w:val="00163BDE"/>
    <w:rsid w:val="00165666"/>
    <w:rsid w:val="00165A76"/>
    <w:rsid w:val="00165FFF"/>
    <w:rsid w:val="00166CFC"/>
    <w:rsid w:val="00167879"/>
    <w:rsid w:val="00167937"/>
    <w:rsid w:val="00167E3E"/>
    <w:rsid w:val="001700B3"/>
    <w:rsid w:val="0017041A"/>
    <w:rsid w:val="00171050"/>
    <w:rsid w:val="0017144D"/>
    <w:rsid w:val="001718CC"/>
    <w:rsid w:val="00171C39"/>
    <w:rsid w:val="00173093"/>
    <w:rsid w:val="001736E1"/>
    <w:rsid w:val="00173C2A"/>
    <w:rsid w:val="001742FE"/>
    <w:rsid w:val="00174E97"/>
    <w:rsid w:val="00181B4E"/>
    <w:rsid w:val="00181F4A"/>
    <w:rsid w:val="001824CF"/>
    <w:rsid w:val="00182A63"/>
    <w:rsid w:val="001837BD"/>
    <w:rsid w:val="001843D0"/>
    <w:rsid w:val="00184B35"/>
    <w:rsid w:val="00185406"/>
    <w:rsid w:val="00185554"/>
    <w:rsid w:val="0018596E"/>
    <w:rsid w:val="00185E92"/>
    <w:rsid w:val="00186324"/>
    <w:rsid w:val="0018668F"/>
    <w:rsid w:val="00186759"/>
    <w:rsid w:val="00186CF5"/>
    <w:rsid w:val="0018731E"/>
    <w:rsid w:val="00187A54"/>
    <w:rsid w:val="00187FE5"/>
    <w:rsid w:val="001908C8"/>
    <w:rsid w:val="00190C26"/>
    <w:rsid w:val="00191D17"/>
    <w:rsid w:val="00191E6E"/>
    <w:rsid w:val="0019238D"/>
    <w:rsid w:val="00192734"/>
    <w:rsid w:val="001936C6"/>
    <w:rsid w:val="00193750"/>
    <w:rsid w:val="00194974"/>
    <w:rsid w:val="00194F43"/>
    <w:rsid w:val="0019511E"/>
    <w:rsid w:val="00195DCF"/>
    <w:rsid w:val="001966DC"/>
    <w:rsid w:val="00196916"/>
    <w:rsid w:val="00197BE2"/>
    <w:rsid w:val="00197E8C"/>
    <w:rsid w:val="001A1401"/>
    <w:rsid w:val="001A339A"/>
    <w:rsid w:val="001A3A7D"/>
    <w:rsid w:val="001A3B15"/>
    <w:rsid w:val="001A4D47"/>
    <w:rsid w:val="001A4E2B"/>
    <w:rsid w:val="001A51C0"/>
    <w:rsid w:val="001A55B6"/>
    <w:rsid w:val="001A58BD"/>
    <w:rsid w:val="001A5F91"/>
    <w:rsid w:val="001A62BC"/>
    <w:rsid w:val="001A641E"/>
    <w:rsid w:val="001A659A"/>
    <w:rsid w:val="001A6A15"/>
    <w:rsid w:val="001A6EDC"/>
    <w:rsid w:val="001A7624"/>
    <w:rsid w:val="001B1505"/>
    <w:rsid w:val="001B15E9"/>
    <w:rsid w:val="001B29D9"/>
    <w:rsid w:val="001B2A3A"/>
    <w:rsid w:val="001B4116"/>
    <w:rsid w:val="001B43EB"/>
    <w:rsid w:val="001B4568"/>
    <w:rsid w:val="001B4CEE"/>
    <w:rsid w:val="001B597A"/>
    <w:rsid w:val="001B60F1"/>
    <w:rsid w:val="001B65EA"/>
    <w:rsid w:val="001B662D"/>
    <w:rsid w:val="001B67F5"/>
    <w:rsid w:val="001B6EE9"/>
    <w:rsid w:val="001B6F97"/>
    <w:rsid w:val="001B7212"/>
    <w:rsid w:val="001B7C22"/>
    <w:rsid w:val="001C011A"/>
    <w:rsid w:val="001C0371"/>
    <w:rsid w:val="001C10EB"/>
    <w:rsid w:val="001C18E3"/>
    <w:rsid w:val="001C1A92"/>
    <w:rsid w:val="001C1B91"/>
    <w:rsid w:val="001C2A07"/>
    <w:rsid w:val="001C31E0"/>
    <w:rsid w:val="001C37D6"/>
    <w:rsid w:val="001C41F2"/>
    <w:rsid w:val="001C4FCC"/>
    <w:rsid w:val="001C50B7"/>
    <w:rsid w:val="001C5B98"/>
    <w:rsid w:val="001C5EC9"/>
    <w:rsid w:val="001C61C4"/>
    <w:rsid w:val="001C6947"/>
    <w:rsid w:val="001C6FF4"/>
    <w:rsid w:val="001D00AC"/>
    <w:rsid w:val="001D0449"/>
    <w:rsid w:val="001D0859"/>
    <w:rsid w:val="001D24E0"/>
    <w:rsid w:val="001D2EF0"/>
    <w:rsid w:val="001D2EFB"/>
    <w:rsid w:val="001D5419"/>
    <w:rsid w:val="001D547D"/>
    <w:rsid w:val="001D55F8"/>
    <w:rsid w:val="001D5787"/>
    <w:rsid w:val="001D585C"/>
    <w:rsid w:val="001D6302"/>
    <w:rsid w:val="001D6C48"/>
    <w:rsid w:val="001D6EC0"/>
    <w:rsid w:val="001D7C31"/>
    <w:rsid w:val="001E21E2"/>
    <w:rsid w:val="001E21FC"/>
    <w:rsid w:val="001E33C6"/>
    <w:rsid w:val="001E33F3"/>
    <w:rsid w:val="001E37FF"/>
    <w:rsid w:val="001E3974"/>
    <w:rsid w:val="001E3A57"/>
    <w:rsid w:val="001E4FA3"/>
    <w:rsid w:val="001E5050"/>
    <w:rsid w:val="001E57AB"/>
    <w:rsid w:val="001E58C7"/>
    <w:rsid w:val="001E59C3"/>
    <w:rsid w:val="001E5D10"/>
    <w:rsid w:val="001E6284"/>
    <w:rsid w:val="001E6932"/>
    <w:rsid w:val="001E6A27"/>
    <w:rsid w:val="001E79F5"/>
    <w:rsid w:val="001F1AA9"/>
    <w:rsid w:val="001F2088"/>
    <w:rsid w:val="001F248D"/>
    <w:rsid w:val="001F320A"/>
    <w:rsid w:val="001F37F6"/>
    <w:rsid w:val="001F488A"/>
    <w:rsid w:val="001F49B6"/>
    <w:rsid w:val="001F4B8F"/>
    <w:rsid w:val="001F60C7"/>
    <w:rsid w:val="001F649D"/>
    <w:rsid w:val="001F6FF5"/>
    <w:rsid w:val="001F71D9"/>
    <w:rsid w:val="001F7477"/>
    <w:rsid w:val="001F7C33"/>
    <w:rsid w:val="00200250"/>
    <w:rsid w:val="00200B86"/>
    <w:rsid w:val="0020183B"/>
    <w:rsid w:val="002049B4"/>
    <w:rsid w:val="00204E4B"/>
    <w:rsid w:val="00205044"/>
    <w:rsid w:val="002053A7"/>
    <w:rsid w:val="00205672"/>
    <w:rsid w:val="00205B3B"/>
    <w:rsid w:val="00206006"/>
    <w:rsid w:val="00206705"/>
    <w:rsid w:val="00206BC3"/>
    <w:rsid w:val="00207574"/>
    <w:rsid w:val="00210183"/>
    <w:rsid w:val="002106DA"/>
    <w:rsid w:val="0021118C"/>
    <w:rsid w:val="002115C4"/>
    <w:rsid w:val="00211758"/>
    <w:rsid w:val="002128EE"/>
    <w:rsid w:val="00212B9E"/>
    <w:rsid w:val="00212EF2"/>
    <w:rsid w:val="00213027"/>
    <w:rsid w:val="002146B2"/>
    <w:rsid w:val="00214EE9"/>
    <w:rsid w:val="00215F43"/>
    <w:rsid w:val="00216E56"/>
    <w:rsid w:val="00222341"/>
    <w:rsid w:val="00222EB3"/>
    <w:rsid w:val="00223084"/>
    <w:rsid w:val="00223671"/>
    <w:rsid w:val="00224127"/>
    <w:rsid w:val="0022493F"/>
    <w:rsid w:val="002251CA"/>
    <w:rsid w:val="0022551A"/>
    <w:rsid w:val="0022573E"/>
    <w:rsid w:val="0022717C"/>
    <w:rsid w:val="002301E3"/>
    <w:rsid w:val="002318A6"/>
    <w:rsid w:val="00232041"/>
    <w:rsid w:val="00233445"/>
    <w:rsid w:val="00233914"/>
    <w:rsid w:val="00233A46"/>
    <w:rsid w:val="002348FA"/>
    <w:rsid w:val="002351B5"/>
    <w:rsid w:val="00235403"/>
    <w:rsid w:val="002356E8"/>
    <w:rsid w:val="00236499"/>
    <w:rsid w:val="00236B24"/>
    <w:rsid w:val="002405F6"/>
    <w:rsid w:val="00240D29"/>
    <w:rsid w:val="00242B3F"/>
    <w:rsid w:val="00243928"/>
    <w:rsid w:val="00243FA8"/>
    <w:rsid w:val="0024436B"/>
    <w:rsid w:val="00244530"/>
    <w:rsid w:val="00245542"/>
    <w:rsid w:val="00245855"/>
    <w:rsid w:val="00245E98"/>
    <w:rsid w:val="0024608D"/>
    <w:rsid w:val="00246A60"/>
    <w:rsid w:val="00250155"/>
    <w:rsid w:val="0025017C"/>
    <w:rsid w:val="00250191"/>
    <w:rsid w:val="002503D2"/>
    <w:rsid w:val="00250618"/>
    <w:rsid w:val="00251536"/>
    <w:rsid w:val="00251A78"/>
    <w:rsid w:val="002536B6"/>
    <w:rsid w:val="0025528A"/>
    <w:rsid w:val="002552AA"/>
    <w:rsid w:val="002552EB"/>
    <w:rsid w:val="00255ECD"/>
    <w:rsid w:val="00255FE4"/>
    <w:rsid w:val="002568DC"/>
    <w:rsid w:val="002574D2"/>
    <w:rsid w:val="00257A9C"/>
    <w:rsid w:val="0026026C"/>
    <w:rsid w:val="00260A48"/>
    <w:rsid w:val="00260F3B"/>
    <w:rsid w:val="002619B4"/>
    <w:rsid w:val="0026277D"/>
    <w:rsid w:val="0026375B"/>
    <w:rsid w:val="002639BC"/>
    <w:rsid w:val="00263DF9"/>
    <w:rsid w:val="00263EC7"/>
    <w:rsid w:val="00264851"/>
    <w:rsid w:val="0026485A"/>
    <w:rsid w:val="00264D36"/>
    <w:rsid w:val="00265BBC"/>
    <w:rsid w:val="00270C06"/>
    <w:rsid w:val="002712D7"/>
    <w:rsid w:val="00271DD2"/>
    <w:rsid w:val="002731A3"/>
    <w:rsid w:val="0027340F"/>
    <w:rsid w:val="0027366C"/>
    <w:rsid w:val="0027370F"/>
    <w:rsid w:val="00273760"/>
    <w:rsid w:val="002754E3"/>
    <w:rsid w:val="00275FAA"/>
    <w:rsid w:val="002763A7"/>
    <w:rsid w:val="00276CAE"/>
    <w:rsid w:val="00276E72"/>
    <w:rsid w:val="002770D9"/>
    <w:rsid w:val="00277106"/>
    <w:rsid w:val="00277308"/>
    <w:rsid w:val="002776C6"/>
    <w:rsid w:val="00277EFF"/>
    <w:rsid w:val="00280B66"/>
    <w:rsid w:val="0028165C"/>
    <w:rsid w:val="002851AC"/>
    <w:rsid w:val="00285933"/>
    <w:rsid w:val="00285C08"/>
    <w:rsid w:val="00286F5D"/>
    <w:rsid w:val="002917FF"/>
    <w:rsid w:val="002922A5"/>
    <w:rsid w:val="00293065"/>
    <w:rsid w:val="0029354A"/>
    <w:rsid w:val="00293BF1"/>
    <w:rsid w:val="00294763"/>
    <w:rsid w:val="00295CDD"/>
    <w:rsid w:val="002971F5"/>
    <w:rsid w:val="00297282"/>
    <w:rsid w:val="00297C66"/>
    <w:rsid w:val="002A11FD"/>
    <w:rsid w:val="002A17FC"/>
    <w:rsid w:val="002A18BD"/>
    <w:rsid w:val="002A224C"/>
    <w:rsid w:val="002A24F7"/>
    <w:rsid w:val="002A329C"/>
    <w:rsid w:val="002A33B3"/>
    <w:rsid w:val="002A3D43"/>
    <w:rsid w:val="002A427C"/>
    <w:rsid w:val="002A4454"/>
    <w:rsid w:val="002A4979"/>
    <w:rsid w:val="002A5F4B"/>
    <w:rsid w:val="002A6266"/>
    <w:rsid w:val="002A6329"/>
    <w:rsid w:val="002A6812"/>
    <w:rsid w:val="002A69B9"/>
    <w:rsid w:val="002A6C7B"/>
    <w:rsid w:val="002A76A1"/>
    <w:rsid w:val="002A77DC"/>
    <w:rsid w:val="002A799C"/>
    <w:rsid w:val="002B0739"/>
    <w:rsid w:val="002B185C"/>
    <w:rsid w:val="002B1894"/>
    <w:rsid w:val="002B1F2C"/>
    <w:rsid w:val="002B2392"/>
    <w:rsid w:val="002B24B7"/>
    <w:rsid w:val="002B3151"/>
    <w:rsid w:val="002B31CF"/>
    <w:rsid w:val="002B3914"/>
    <w:rsid w:val="002B441F"/>
    <w:rsid w:val="002B4A7C"/>
    <w:rsid w:val="002B4C5C"/>
    <w:rsid w:val="002B5798"/>
    <w:rsid w:val="002C0555"/>
    <w:rsid w:val="002C1BF9"/>
    <w:rsid w:val="002C3584"/>
    <w:rsid w:val="002C44FE"/>
    <w:rsid w:val="002C4F28"/>
    <w:rsid w:val="002C5971"/>
    <w:rsid w:val="002C674C"/>
    <w:rsid w:val="002C7474"/>
    <w:rsid w:val="002D08B9"/>
    <w:rsid w:val="002D0AA4"/>
    <w:rsid w:val="002D2E59"/>
    <w:rsid w:val="002D2F31"/>
    <w:rsid w:val="002D3486"/>
    <w:rsid w:val="002D4A26"/>
    <w:rsid w:val="002D4C24"/>
    <w:rsid w:val="002D597C"/>
    <w:rsid w:val="002D5A19"/>
    <w:rsid w:val="002D5F22"/>
    <w:rsid w:val="002D677C"/>
    <w:rsid w:val="002D6BB1"/>
    <w:rsid w:val="002E04AB"/>
    <w:rsid w:val="002E16A0"/>
    <w:rsid w:val="002E2453"/>
    <w:rsid w:val="002E2494"/>
    <w:rsid w:val="002E3170"/>
    <w:rsid w:val="002E4197"/>
    <w:rsid w:val="002E4B4C"/>
    <w:rsid w:val="002E5161"/>
    <w:rsid w:val="002E5227"/>
    <w:rsid w:val="002E653B"/>
    <w:rsid w:val="002E684E"/>
    <w:rsid w:val="002F00B7"/>
    <w:rsid w:val="002F0136"/>
    <w:rsid w:val="002F10D7"/>
    <w:rsid w:val="002F18EF"/>
    <w:rsid w:val="002F3417"/>
    <w:rsid w:val="002F3439"/>
    <w:rsid w:val="002F34FD"/>
    <w:rsid w:val="002F36DB"/>
    <w:rsid w:val="002F38E2"/>
    <w:rsid w:val="002F4B9D"/>
    <w:rsid w:val="002F5970"/>
    <w:rsid w:val="002F5F77"/>
    <w:rsid w:val="002F61F8"/>
    <w:rsid w:val="002F633E"/>
    <w:rsid w:val="002F72C5"/>
    <w:rsid w:val="00301406"/>
    <w:rsid w:val="00302B1E"/>
    <w:rsid w:val="0030346C"/>
    <w:rsid w:val="00304859"/>
    <w:rsid w:val="00304A9C"/>
    <w:rsid w:val="00305C43"/>
    <w:rsid w:val="003061B8"/>
    <w:rsid w:val="00306D1A"/>
    <w:rsid w:val="00307301"/>
    <w:rsid w:val="00311105"/>
    <w:rsid w:val="003122BA"/>
    <w:rsid w:val="00312696"/>
    <w:rsid w:val="00312B4E"/>
    <w:rsid w:val="00312D27"/>
    <w:rsid w:val="0031351E"/>
    <w:rsid w:val="003142D1"/>
    <w:rsid w:val="003143FD"/>
    <w:rsid w:val="00314431"/>
    <w:rsid w:val="00314955"/>
    <w:rsid w:val="003177D5"/>
    <w:rsid w:val="0032071C"/>
    <w:rsid w:val="00320A63"/>
    <w:rsid w:val="00321726"/>
    <w:rsid w:val="0032201B"/>
    <w:rsid w:val="00322912"/>
    <w:rsid w:val="00322BA9"/>
    <w:rsid w:val="0032346A"/>
    <w:rsid w:val="0032348A"/>
    <w:rsid w:val="003242F0"/>
    <w:rsid w:val="0032434D"/>
    <w:rsid w:val="003246F1"/>
    <w:rsid w:val="00324A1C"/>
    <w:rsid w:val="00325025"/>
    <w:rsid w:val="0032625B"/>
    <w:rsid w:val="003265FC"/>
    <w:rsid w:val="00327B50"/>
    <w:rsid w:val="00331545"/>
    <w:rsid w:val="0033467B"/>
    <w:rsid w:val="00334991"/>
    <w:rsid w:val="00334A81"/>
    <w:rsid w:val="00334B0C"/>
    <w:rsid w:val="00335E35"/>
    <w:rsid w:val="003367BC"/>
    <w:rsid w:val="00337152"/>
    <w:rsid w:val="003403AA"/>
    <w:rsid w:val="003404FD"/>
    <w:rsid w:val="003417A1"/>
    <w:rsid w:val="003426D6"/>
    <w:rsid w:val="003427CD"/>
    <w:rsid w:val="00342C77"/>
    <w:rsid w:val="00342EB4"/>
    <w:rsid w:val="00343F28"/>
    <w:rsid w:val="00346037"/>
    <w:rsid w:val="00346DB8"/>
    <w:rsid w:val="00347EFF"/>
    <w:rsid w:val="00350768"/>
    <w:rsid w:val="00352529"/>
    <w:rsid w:val="00352609"/>
    <w:rsid w:val="003540FC"/>
    <w:rsid w:val="00356888"/>
    <w:rsid w:val="00356D97"/>
    <w:rsid w:val="00357B27"/>
    <w:rsid w:val="00357B44"/>
    <w:rsid w:val="00360EC0"/>
    <w:rsid w:val="00361089"/>
    <w:rsid w:val="003630F5"/>
    <w:rsid w:val="00363F40"/>
    <w:rsid w:val="00364020"/>
    <w:rsid w:val="00364870"/>
    <w:rsid w:val="00366307"/>
    <w:rsid w:val="0036654D"/>
    <w:rsid w:val="00366A38"/>
    <w:rsid w:val="00367B1E"/>
    <w:rsid w:val="003704A4"/>
    <w:rsid w:val="0037153F"/>
    <w:rsid w:val="00371588"/>
    <w:rsid w:val="00371956"/>
    <w:rsid w:val="00371C1C"/>
    <w:rsid w:val="00371D2A"/>
    <w:rsid w:val="003724AE"/>
    <w:rsid w:val="00372B4E"/>
    <w:rsid w:val="00373058"/>
    <w:rsid w:val="003733E8"/>
    <w:rsid w:val="0037376D"/>
    <w:rsid w:val="00374D35"/>
    <w:rsid w:val="003766E1"/>
    <w:rsid w:val="00376F03"/>
    <w:rsid w:val="00380801"/>
    <w:rsid w:val="00381F03"/>
    <w:rsid w:val="003823FD"/>
    <w:rsid w:val="003833F8"/>
    <w:rsid w:val="00384A22"/>
    <w:rsid w:val="00384F73"/>
    <w:rsid w:val="0038635E"/>
    <w:rsid w:val="00387822"/>
    <w:rsid w:val="00387BB9"/>
    <w:rsid w:val="003907A6"/>
    <w:rsid w:val="00390C0C"/>
    <w:rsid w:val="00390C79"/>
    <w:rsid w:val="003911A1"/>
    <w:rsid w:val="0039399D"/>
    <w:rsid w:val="00393A46"/>
    <w:rsid w:val="003975B9"/>
    <w:rsid w:val="00397D34"/>
    <w:rsid w:val="00397F5E"/>
    <w:rsid w:val="003A1BC7"/>
    <w:rsid w:val="003A24F0"/>
    <w:rsid w:val="003A32D8"/>
    <w:rsid w:val="003A3B05"/>
    <w:rsid w:val="003A3B76"/>
    <w:rsid w:val="003A4180"/>
    <w:rsid w:val="003A5084"/>
    <w:rsid w:val="003A56EB"/>
    <w:rsid w:val="003A662F"/>
    <w:rsid w:val="003A7541"/>
    <w:rsid w:val="003B0229"/>
    <w:rsid w:val="003B100F"/>
    <w:rsid w:val="003B14F5"/>
    <w:rsid w:val="003B182E"/>
    <w:rsid w:val="003B2C38"/>
    <w:rsid w:val="003B38EA"/>
    <w:rsid w:val="003B394E"/>
    <w:rsid w:val="003B4090"/>
    <w:rsid w:val="003B4146"/>
    <w:rsid w:val="003B44E4"/>
    <w:rsid w:val="003B56AD"/>
    <w:rsid w:val="003B5AA9"/>
    <w:rsid w:val="003B64C7"/>
    <w:rsid w:val="003B6AE7"/>
    <w:rsid w:val="003B6AEB"/>
    <w:rsid w:val="003B72FA"/>
    <w:rsid w:val="003B7D61"/>
    <w:rsid w:val="003B7D62"/>
    <w:rsid w:val="003C06F6"/>
    <w:rsid w:val="003C0B0D"/>
    <w:rsid w:val="003C2835"/>
    <w:rsid w:val="003C31F0"/>
    <w:rsid w:val="003C34FF"/>
    <w:rsid w:val="003C3A85"/>
    <w:rsid w:val="003C4260"/>
    <w:rsid w:val="003C47C8"/>
    <w:rsid w:val="003C498B"/>
    <w:rsid w:val="003C4B93"/>
    <w:rsid w:val="003C4F52"/>
    <w:rsid w:val="003C534C"/>
    <w:rsid w:val="003C5DCD"/>
    <w:rsid w:val="003C7101"/>
    <w:rsid w:val="003C7EC4"/>
    <w:rsid w:val="003D118F"/>
    <w:rsid w:val="003D1412"/>
    <w:rsid w:val="003D18C0"/>
    <w:rsid w:val="003D202D"/>
    <w:rsid w:val="003D26F1"/>
    <w:rsid w:val="003D3A5F"/>
    <w:rsid w:val="003D41D2"/>
    <w:rsid w:val="003D5A38"/>
    <w:rsid w:val="003D63CB"/>
    <w:rsid w:val="003D6618"/>
    <w:rsid w:val="003D7091"/>
    <w:rsid w:val="003E011C"/>
    <w:rsid w:val="003E0160"/>
    <w:rsid w:val="003E09E2"/>
    <w:rsid w:val="003E179B"/>
    <w:rsid w:val="003E19A9"/>
    <w:rsid w:val="003E1F12"/>
    <w:rsid w:val="003E2AB5"/>
    <w:rsid w:val="003E2CAE"/>
    <w:rsid w:val="003E400B"/>
    <w:rsid w:val="003E4B4E"/>
    <w:rsid w:val="003E4C23"/>
    <w:rsid w:val="003E4E55"/>
    <w:rsid w:val="003E60B5"/>
    <w:rsid w:val="003E6F34"/>
    <w:rsid w:val="003E7B8F"/>
    <w:rsid w:val="003F00ED"/>
    <w:rsid w:val="003F010E"/>
    <w:rsid w:val="003F0CF1"/>
    <w:rsid w:val="003F10E3"/>
    <w:rsid w:val="003F1414"/>
    <w:rsid w:val="003F46FD"/>
    <w:rsid w:val="003F6A6B"/>
    <w:rsid w:val="003F7C38"/>
    <w:rsid w:val="003F7F34"/>
    <w:rsid w:val="0040049B"/>
    <w:rsid w:val="00401BF1"/>
    <w:rsid w:val="00401BFA"/>
    <w:rsid w:val="004022B2"/>
    <w:rsid w:val="004045AF"/>
    <w:rsid w:val="004049BB"/>
    <w:rsid w:val="00404FFF"/>
    <w:rsid w:val="00405076"/>
    <w:rsid w:val="00405A7E"/>
    <w:rsid w:val="00405E52"/>
    <w:rsid w:val="004062A8"/>
    <w:rsid w:val="00407EDC"/>
    <w:rsid w:val="00410968"/>
    <w:rsid w:val="00410E2B"/>
    <w:rsid w:val="004120A7"/>
    <w:rsid w:val="00412A71"/>
    <w:rsid w:val="00414242"/>
    <w:rsid w:val="0041586C"/>
    <w:rsid w:val="0041592B"/>
    <w:rsid w:val="00415EFF"/>
    <w:rsid w:val="00416D07"/>
    <w:rsid w:val="0041719B"/>
    <w:rsid w:val="00417EBB"/>
    <w:rsid w:val="00420C50"/>
    <w:rsid w:val="00420E0D"/>
    <w:rsid w:val="00420FAC"/>
    <w:rsid w:val="004215AE"/>
    <w:rsid w:val="00421BD6"/>
    <w:rsid w:val="00422603"/>
    <w:rsid w:val="00422D44"/>
    <w:rsid w:val="00423116"/>
    <w:rsid w:val="00423C75"/>
    <w:rsid w:val="00423CE7"/>
    <w:rsid w:val="00424272"/>
    <w:rsid w:val="00426221"/>
    <w:rsid w:val="00426CCA"/>
    <w:rsid w:val="0042766D"/>
    <w:rsid w:val="00427B09"/>
    <w:rsid w:val="00430084"/>
    <w:rsid w:val="00430486"/>
    <w:rsid w:val="00431939"/>
    <w:rsid w:val="004320FC"/>
    <w:rsid w:val="004329A0"/>
    <w:rsid w:val="00433665"/>
    <w:rsid w:val="00433CE9"/>
    <w:rsid w:val="00433D18"/>
    <w:rsid w:val="004349D0"/>
    <w:rsid w:val="00434CE4"/>
    <w:rsid w:val="004353C6"/>
    <w:rsid w:val="0043550A"/>
    <w:rsid w:val="0043577F"/>
    <w:rsid w:val="004357A3"/>
    <w:rsid w:val="004358C0"/>
    <w:rsid w:val="00435BA9"/>
    <w:rsid w:val="00435E2F"/>
    <w:rsid w:val="00436717"/>
    <w:rsid w:val="004372B5"/>
    <w:rsid w:val="0043785C"/>
    <w:rsid w:val="0043795E"/>
    <w:rsid w:val="00437F79"/>
    <w:rsid w:val="00440159"/>
    <w:rsid w:val="0044092E"/>
    <w:rsid w:val="00440AA3"/>
    <w:rsid w:val="00440AAE"/>
    <w:rsid w:val="004417B3"/>
    <w:rsid w:val="0044348B"/>
    <w:rsid w:val="00443659"/>
    <w:rsid w:val="00445290"/>
    <w:rsid w:val="00446D47"/>
    <w:rsid w:val="0044764D"/>
    <w:rsid w:val="00447764"/>
    <w:rsid w:val="00447BD7"/>
    <w:rsid w:val="00447BF2"/>
    <w:rsid w:val="00450426"/>
    <w:rsid w:val="00450E23"/>
    <w:rsid w:val="00451D09"/>
    <w:rsid w:val="004523B6"/>
    <w:rsid w:val="004525D7"/>
    <w:rsid w:val="00452CE6"/>
    <w:rsid w:val="00454190"/>
    <w:rsid w:val="00454940"/>
    <w:rsid w:val="004550D1"/>
    <w:rsid w:val="0045550B"/>
    <w:rsid w:val="00455530"/>
    <w:rsid w:val="0045611A"/>
    <w:rsid w:val="00456D1F"/>
    <w:rsid w:val="00456F87"/>
    <w:rsid w:val="00461ADE"/>
    <w:rsid w:val="00463AF0"/>
    <w:rsid w:val="00463E79"/>
    <w:rsid w:val="004648FA"/>
    <w:rsid w:val="00464DFF"/>
    <w:rsid w:val="004655BC"/>
    <w:rsid w:val="004666F2"/>
    <w:rsid w:val="004677F6"/>
    <w:rsid w:val="00470480"/>
    <w:rsid w:val="00470EE1"/>
    <w:rsid w:val="004713A6"/>
    <w:rsid w:val="004716CD"/>
    <w:rsid w:val="00472754"/>
    <w:rsid w:val="00472937"/>
    <w:rsid w:val="00473BBE"/>
    <w:rsid w:val="004744E4"/>
    <w:rsid w:val="00474767"/>
    <w:rsid w:val="004749A8"/>
    <w:rsid w:val="00474B93"/>
    <w:rsid w:val="004755BD"/>
    <w:rsid w:val="0047756D"/>
    <w:rsid w:val="0048051A"/>
    <w:rsid w:val="004805A3"/>
    <w:rsid w:val="004808E8"/>
    <w:rsid w:val="00480F53"/>
    <w:rsid w:val="004817FD"/>
    <w:rsid w:val="00481DF6"/>
    <w:rsid w:val="00482E64"/>
    <w:rsid w:val="004835D5"/>
    <w:rsid w:val="004841A4"/>
    <w:rsid w:val="004842FD"/>
    <w:rsid w:val="00484968"/>
    <w:rsid w:val="004859B4"/>
    <w:rsid w:val="004878EA"/>
    <w:rsid w:val="00487995"/>
    <w:rsid w:val="00487C03"/>
    <w:rsid w:val="00487F6A"/>
    <w:rsid w:val="004906A1"/>
    <w:rsid w:val="00491477"/>
    <w:rsid w:val="004917A0"/>
    <w:rsid w:val="004921CC"/>
    <w:rsid w:val="004923B4"/>
    <w:rsid w:val="00492A37"/>
    <w:rsid w:val="004932F0"/>
    <w:rsid w:val="00493DBB"/>
    <w:rsid w:val="00494C39"/>
    <w:rsid w:val="00494E36"/>
    <w:rsid w:val="004959BC"/>
    <w:rsid w:val="00495CFD"/>
    <w:rsid w:val="00495D51"/>
    <w:rsid w:val="00495DA0"/>
    <w:rsid w:val="00495E00"/>
    <w:rsid w:val="0049644E"/>
    <w:rsid w:val="00497996"/>
    <w:rsid w:val="004A0422"/>
    <w:rsid w:val="004A06FC"/>
    <w:rsid w:val="004A0D8F"/>
    <w:rsid w:val="004A10A8"/>
    <w:rsid w:val="004A151B"/>
    <w:rsid w:val="004A26B5"/>
    <w:rsid w:val="004A271D"/>
    <w:rsid w:val="004A3722"/>
    <w:rsid w:val="004A3CE8"/>
    <w:rsid w:val="004A4630"/>
    <w:rsid w:val="004A4694"/>
    <w:rsid w:val="004A4A40"/>
    <w:rsid w:val="004A51B1"/>
    <w:rsid w:val="004A5259"/>
    <w:rsid w:val="004A52C9"/>
    <w:rsid w:val="004A5CE2"/>
    <w:rsid w:val="004A5EA9"/>
    <w:rsid w:val="004A6F64"/>
    <w:rsid w:val="004A7D0E"/>
    <w:rsid w:val="004B03B7"/>
    <w:rsid w:val="004B146F"/>
    <w:rsid w:val="004B3171"/>
    <w:rsid w:val="004B39EE"/>
    <w:rsid w:val="004B3FB5"/>
    <w:rsid w:val="004B4BED"/>
    <w:rsid w:val="004B58A9"/>
    <w:rsid w:val="004B5D6F"/>
    <w:rsid w:val="004B7256"/>
    <w:rsid w:val="004B7816"/>
    <w:rsid w:val="004C1272"/>
    <w:rsid w:val="004C1E1D"/>
    <w:rsid w:val="004C209D"/>
    <w:rsid w:val="004C268C"/>
    <w:rsid w:val="004C27BA"/>
    <w:rsid w:val="004C3422"/>
    <w:rsid w:val="004C426B"/>
    <w:rsid w:val="004C4636"/>
    <w:rsid w:val="004C473B"/>
    <w:rsid w:val="004C48A1"/>
    <w:rsid w:val="004C54F6"/>
    <w:rsid w:val="004C57B9"/>
    <w:rsid w:val="004C605E"/>
    <w:rsid w:val="004C6D7F"/>
    <w:rsid w:val="004C7A3B"/>
    <w:rsid w:val="004D1014"/>
    <w:rsid w:val="004D1A2D"/>
    <w:rsid w:val="004D25F1"/>
    <w:rsid w:val="004D2763"/>
    <w:rsid w:val="004D5485"/>
    <w:rsid w:val="004D5DFE"/>
    <w:rsid w:val="004D7BCF"/>
    <w:rsid w:val="004E0313"/>
    <w:rsid w:val="004E0B80"/>
    <w:rsid w:val="004E127E"/>
    <w:rsid w:val="004E3119"/>
    <w:rsid w:val="004E3736"/>
    <w:rsid w:val="004E3B07"/>
    <w:rsid w:val="004E472C"/>
    <w:rsid w:val="004E514A"/>
    <w:rsid w:val="004E6CE8"/>
    <w:rsid w:val="004E7B55"/>
    <w:rsid w:val="004E7E0D"/>
    <w:rsid w:val="004F07A5"/>
    <w:rsid w:val="004F08EC"/>
    <w:rsid w:val="004F11F0"/>
    <w:rsid w:val="004F139A"/>
    <w:rsid w:val="004F1659"/>
    <w:rsid w:val="004F1752"/>
    <w:rsid w:val="004F1C13"/>
    <w:rsid w:val="004F32DD"/>
    <w:rsid w:val="004F35B6"/>
    <w:rsid w:val="004F519F"/>
    <w:rsid w:val="004F5DDC"/>
    <w:rsid w:val="004F5E5A"/>
    <w:rsid w:val="004F6F86"/>
    <w:rsid w:val="004F70F0"/>
    <w:rsid w:val="004F7E13"/>
    <w:rsid w:val="004F7F63"/>
    <w:rsid w:val="0050016B"/>
    <w:rsid w:val="0050047E"/>
    <w:rsid w:val="0050080A"/>
    <w:rsid w:val="00501B60"/>
    <w:rsid w:val="00501DE4"/>
    <w:rsid w:val="0050251F"/>
    <w:rsid w:val="00502876"/>
    <w:rsid w:val="00502F91"/>
    <w:rsid w:val="00503924"/>
    <w:rsid w:val="00504533"/>
    <w:rsid w:val="00506686"/>
    <w:rsid w:val="0050771F"/>
    <w:rsid w:val="0051012E"/>
    <w:rsid w:val="00510B2D"/>
    <w:rsid w:val="00511CB6"/>
    <w:rsid w:val="00511F0D"/>
    <w:rsid w:val="005123BC"/>
    <w:rsid w:val="00512B9B"/>
    <w:rsid w:val="00513C2E"/>
    <w:rsid w:val="00514417"/>
    <w:rsid w:val="005154E3"/>
    <w:rsid w:val="00515DB6"/>
    <w:rsid w:val="005163F3"/>
    <w:rsid w:val="00516A64"/>
    <w:rsid w:val="00516B0B"/>
    <w:rsid w:val="00516F4A"/>
    <w:rsid w:val="0051767F"/>
    <w:rsid w:val="00521868"/>
    <w:rsid w:val="005219DF"/>
    <w:rsid w:val="00522910"/>
    <w:rsid w:val="00523CDF"/>
    <w:rsid w:val="00524066"/>
    <w:rsid w:val="0052448E"/>
    <w:rsid w:val="005244A1"/>
    <w:rsid w:val="00524A82"/>
    <w:rsid w:val="00524CD8"/>
    <w:rsid w:val="0052683D"/>
    <w:rsid w:val="0052793A"/>
    <w:rsid w:val="00527D41"/>
    <w:rsid w:val="005303C1"/>
    <w:rsid w:val="005306C3"/>
    <w:rsid w:val="00530D96"/>
    <w:rsid w:val="00533180"/>
    <w:rsid w:val="005333DE"/>
    <w:rsid w:val="00534AA3"/>
    <w:rsid w:val="00535107"/>
    <w:rsid w:val="00535762"/>
    <w:rsid w:val="00536434"/>
    <w:rsid w:val="0053763A"/>
    <w:rsid w:val="005377AF"/>
    <w:rsid w:val="0054031D"/>
    <w:rsid w:val="00541352"/>
    <w:rsid w:val="0054174C"/>
    <w:rsid w:val="00542DA5"/>
    <w:rsid w:val="00543E65"/>
    <w:rsid w:val="005443C5"/>
    <w:rsid w:val="005443E7"/>
    <w:rsid w:val="005446DF"/>
    <w:rsid w:val="00544998"/>
    <w:rsid w:val="00544EB2"/>
    <w:rsid w:val="00545C98"/>
    <w:rsid w:val="0054725A"/>
    <w:rsid w:val="005476E2"/>
    <w:rsid w:val="0054797F"/>
    <w:rsid w:val="00547B40"/>
    <w:rsid w:val="00550539"/>
    <w:rsid w:val="00550A03"/>
    <w:rsid w:val="0055155D"/>
    <w:rsid w:val="005519B7"/>
    <w:rsid w:val="00553478"/>
    <w:rsid w:val="005539B2"/>
    <w:rsid w:val="0055415A"/>
    <w:rsid w:val="0055426B"/>
    <w:rsid w:val="0055520E"/>
    <w:rsid w:val="00555DCC"/>
    <w:rsid w:val="005561D9"/>
    <w:rsid w:val="00557614"/>
    <w:rsid w:val="0055776E"/>
    <w:rsid w:val="00561071"/>
    <w:rsid w:val="00561780"/>
    <w:rsid w:val="005623A5"/>
    <w:rsid w:val="0056290E"/>
    <w:rsid w:val="00563715"/>
    <w:rsid w:val="00563E08"/>
    <w:rsid w:val="00564D54"/>
    <w:rsid w:val="00564DE7"/>
    <w:rsid w:val="00564F6D"/>
    <w:rsid w:val="00565398"/>
    <w:rsid w:val="005659FD"/>
    <w:rsid w:val="00565A4F"/>
    <w:rsid w:val="00565DEF"/>
    <w:rsid w:val="005669DE"/>
    <w:rsid w:val="00566D56"/>
    <w:rsid w:val="00567648"/>
    <w:rsid w:val="0056784D"/>
    <w:rsid w:val="00567B4C"/>
    <w:rsid w:val="00570A04"/>
    <w:rsid w:val="005710B0"/>
    <w:rsid w:val="00571165"/>
    <w:rsid w:val="00571171"/>
    <w:rsid w:val="00571C3A"/>
    <w:rsid w:val="00571CE8"/>
    <w:rsid w:val="00571DFB"/>
    <w:rsid w:val="0057335E"/>
    <w:rsid w:val="00575A7F"/>
    <w:rsid w:val="0057706C"/>
    <w:rsid w:val="0057776E"/>
    <w:rsid w:val="00577C90"/>
    <w:rsid w:val="0057E9C9"/>
    <w:rsid w:val="0058040C"/>
    <w:rsid w:val="005814A6"/>
    <w:rsid w:val="00581CD7"/>
    <w:rsid w:val="00581D31"/>
    <w:rsid w:val="00582292"/>
    <w:rsid w:val="005822E4"/>
    <w:rsid w:val="00583FA6"/>
    <w:rsid w:val="00583FAC"/>
    <w:rsid w:val="005841D9"/>
    <w:rsid w:val="005845F9"/>
    <w:rsid w:val="00584D49"/>
    <w:rsid w:val="0058510A"/>
    <w:rsid w:val="00585471"/>
    <w:rsid w:val="00590615"/>
    <w:rsid w:val="005907D2"/>
    <w:rsid w:val="00590D00"/>
    <w:rsid w:val="005911F6"/>
    <w:rsid w:val="00591A5D"/>
    <w:rsid w:val="00592840"/>
    <w:rsid w:val="00592D82"/>
    <w:rsid w:val="00593272"/>
    <w:rsid w:val="00595379"/>
    <w:rsid w:val="00595B2C"/>
    <w:rsid w:val="00595CE1"/>
    <w:rsid w:val="00595F50"/>
    <w:rsid w:val="00596B56"/>
    <w:rsid w:val="00596D33"/>
    <w:rsid w:val="00597657"/>
    <w:rsid w:val="00597A23"/>
    <w:rsid w:val="00597BD6"/>
    <w:rsid w:val="005A02D0"/>
    <w:rsid w:val="005A1953"/>
    <w:rsid w:val="005A1EF9"/>
    <w:rsid w:val="005A25D4"/>
    <w:rsid w:val="005A29AF"/>
    <w:rsid w:val="005A2BBA"/>
    <w:rsid w:val="005A3116"/>
    <w:rsid w:val="005A3396"/>
    <w:rsid w:val="005A3FB7"/>
    <w:rsid w:val="005A49F2"/>
    <w:rsid w:val="005A596B"/>
    <w:rsid w:val="005A60E9"/>
    <w:rsid w:val="005A6723"/>
    <w:rsid w:val="005A6B9A"/>
    <w:rsid w:val="005A750C"/>
    <w:rsid w:val="005A7D40"/>
    <w:rsid w:val="005A7F76"/>
    <w:rsid w:val="005B007A"/>
    <w:rsid w:val="005B1D12"/>
    <w:rsid w:val="005B1DF4"/>
    <w:rsid w:val="005B2E43"/>
    <w:rsid w:val="005B36F7"/>
    <w:rsid w:val="005B3FC8"/>
    <w:rsid w:val="005B51F1"/>
    <w:rsid w:val="005B5216"/>
    <w:rsid w:val="005B53F7"/>
    <w:rsid w:val="005B55F1"/>
    <w:rsid w:val="005B72BA"/>
    <w:rsid w:val="005B7829"/>
    <w:rsid w:val="005B7C46"/>
    <w:rsid w:val="005B7D2A"/>
    <w:rsid w:val="005C01A4"/>
    <w:rsid w:val="005C09CF"/>
    <w:rsid w:val="005C2571"/>
    <w:rsid w:val="005C2BDD"/>
    <w:rsid w:val="005C44B4"/>
    <w:rsid w:val="005C4A2B"/>
    <w:rsid w:val="005C5B12"/>
    <w:rsid w:val="005C60AD"/>
    <w:rsid w:val="005C60D1"/>
    <w:rsid w:val="005D0460"/>
    <w:rsid w:val="005D0C4C"/>
    <w:rsid w:val="005D125D"/>
    <w:rsid w:val="005D14ED"/>
    <w:rsid w:val="005D20BB"/>
    <w:rsid w:val="005D21A6"/>
    <w:rsid w:val="005D25A5"/>
    <w:rsid w:val="005D3E2D"/>
    <w:rsid w:val="005D3F4E"/>
    <w:rsid w:val="005D44E1"/>
    <w:rsid w:val="005D4A3C"/>
    <w:rsid w:val="005D527D"/>
    <w:rsid w:val="005D5449"/>
    <w:rsid w:val="005D5FBD"/>
    <w:rsid w:val="005D722D"/>
    <w:rsid w:val="005E0B57"/>
    <w:rsid w:val="005E0D7C"/>
    <w:rsid w:val="005E1620"/>
    <w:rsid w:val="005E1DE3"/>
    <w:rsid w:val="005E2D1A"/>
    <w:rsid w:val="005E2D63"/>
    <w:rsid w:val="005E51C3"/>
    <w:rsid w:val="005E579A"/>
    <w:rsid w:val="005E5880"/>
    <w:rsid w:val="005E5B74"/>
    <w:rsid w:val="005E6E1F"/>
    <w:rsid w:val="005E7292"/>
    <w:rsid w:val="005F0B77"/>
    <w:rsid w:val="005F2BBF"/>
    <w:rsid w:val="005F3424"/>
    <w:rsid w:val="005F3C17"/>
    <w:rsid w:val="005F5205"/>
    <w:rsid w:val="005F5B83"/>
    <w:rsid w:val="005F6842"/>
    <w:rsid w:val="005F69AA"/>
    <w:rsid w:val="005F6C62"/>
    <w:rsid w:val="005F6E9E"/>
    <w:rsid w:val="005F7026"/>
    <w:rsid w:val="0060135E"/>
    <w:rsid w:val="006016F8"/>
    <w:rsid w:val="00601797"/>
    <w:rsid w:val="00601FFD"/>
    <w:rsid w:val="006028B8"/>
    <w:rsid w:val="00602D97"/>
    <w:rsid w:val="00603254"/>
    <w:rsid w:val="00604057"/>
    <w:rsid w:val="00604125"/>
    <w:rsid w:val="0060420B"/>
    <w:rsid w:val="00605723"/>
    <w:rsid w:val="006057DF"/>
    <w:rsid w:val="006059BD"/>
    <w:rsid w:val="00605B83"/>
    <w:rsid w:val="006062D3"/>
    <w:rsid w:val="00611D75"/>
    <w:rsid w:val="006122D3"/>
    <w:rsid w:val="00612342"/>
    <w:rsid w:val="0061401C"/>
    <w:rsid w:val="0061428D"/>
    <w:rsid w:val="00614E85"/>
    <w:rsid w:val="006157C7"/>
    <w:rsid w:val="00615BF9"/>
    <w:rsid w:val="00615E6A"/>
    <w:rsid w:val="00615EC1"/>
    <w:rsid w:val="00616047"/>
    <w:rsid w:val="00616540"/>
    <w:rsid w:val="006172DA"/>
    <w:rsid w:val="00620171"/>
    <w:rsid w:val="00620DAC"/>
    <w:rsid w:val="00621373"/>
    <w:rsid w:val="0062190B"/>
    <w:rsid w:val="00621B49"/>
    <w:rsid w:val="00622C2C"/>
    <w:rsid w:val="00623625"/>
    <w:rsid w:val="00623AC5"/>
    <w:rsid w:val="00624290"/>
    <w:rsid w:val="00625491"/>
    <w:rsid w:val="00626288"/>
    <w:rsid w:val="00626B3F"/>
    <w:rsid w:val="0062769F"/>
    <w:rsid w:val="00630B8F"/>
    <w:rsid w:val="006314DF"/>
    <w:rsid w:val="0063311B"/>
    <w:rsid w:val="00634CFC"/>
    <w:rsid w:val="00635703"/>
    <w:rsid w:val="00637B33"/>
    <w:rsid w:val="0064058D"/>
    <w:rsid w:val="0064093E"/>
    <w:rsid w:val="00640C52"/>
    <w:rsid w:val="00641028"/>
    <w:rsid w:val="00642DB4"/>
    <w:rsid w:val="00643640"/>
    <w:rsid w:val="00644AF9"/>
    <w:rsid w:val="0064667F"/>
    <w:rsid w:val="00646BD6"/>
    <w:rsid w:val="00647EB7"/>
    <w:rsid w:val="0065066D"/>
    <w:rsid w:val="00650876"/>
    <w:rsid w:val="00650AEF"/>
    <w:rsid w:val="006513CA"/>
    <w:rsid w:val="0065176F"/>
    <w:rsid w:val="00651A68"/>
    <w:rsid w:val="00651AF1"/>
    <w:rsid w:val="00651C98"/>
    <w:rsid w:val="00652BA3"/>
    <w:rsid w:val="00653356"/>
    <w:rsid w:val="00653725"/>
    <w:rsid w:val="006539B0"/>
    <w:rsid w:val="006539BB"/>
    <w:rsid w:val="00654111"/>
    <w:rsid w:val="00657328"/>
    <w:rsid w:val="0065737F"/>
    <w:rsid w:val="006574A8"/>
    <w:rsid w:val="006576C3"/>
    <w:rsid w:val="006576D3"/>
    <w:rsid w:val="0066033F"/>
    <w:rsid w:val="00660966"/>
    <w:rsid w:val="00661AFD"/>
    <w:rsid w:val="00662296"/>
    <w:rsid w:val="00663143"/>
    <w:rsid w:val="00663883"/>
    <w:rsid w:val="00663CA4"/>
    <w:rsid w:val="0066432F"/>
    <w:rsid w:val="00664342"/>
    <w:rsid w:val="00665EAE"/>
    <w:rsid w:val="00666216"/>
    <w:rsid w:val="00666A51"/>
    <w:rsid w:val="00666F24"/>
    <w:rsid w:val="00667325"/>
    <w:rsid w:val="0067035F"/>
    <w:rsid w:val="006710DE"/>
    <w:rsid w:val="0067129A"/>
    <w:rsid w:val="006716F7"/>
    <w:rsid w:val="00671CEE"/>
    <w:rsid w:val="00672C59"/>
    <w:rsid w:val="00672DC4"/>
    <w:rsid w:val="00673B4D"/>
    <w:rsid w:val="006745C1"/>
    <w:rsid w:val="00674DAF"/>
    <w:rsid w:val="0067501F"/>
    <w:rsid w:val="006753C0"/>
    <w:rsid w:val="00675599"/>
    <w:rsid w:val="0067786F"/>
    <w:rsid w:val="00677EDF"/>
    <w:rsid w:val="00677EE4"/>
    <w:rsid w:val="00680733"/>
    <w:rsid w:val="00680C5D"/>
    <w:rsid w:val="006819D5"/>
    <w:rsid w:val="006824BF"/>
    <w:rsid w:val="006829D3"/>
    <w:rsid w:val="00682D9A"/>
    <w:rsid w:val="00683ED7"/>
    <w:rsid w:val="006852BF"/>
    <w:rsid w:val="00686497"/>
    <w:rsid w:val="00686B1A"/>
    <w:rsid w:val="00690297"/>
    <w:rsid w:val="00690693"/>
    <w:rsid w:val="00690D92"/>
    <w:rsid w:val="00691612"/>
    <w:rsid w:val="00691962"/>
    <w:rsid w:val="0069227E"/>
    <w:rsid w:val="00692663"/>
    <w:rsid w:val="00692F2F"/>
    <w:rsid w:val="006931E6"/>
    <w:rsid w:val="0069451E"/>
    <w:rsid w:val="0069526B"/>
    <w:rsid w:val="00695517"/>
    <w:rsid w:val="00695972"/>
    <w:rsid w:val="00696411"/>
    <w:rsid w:val="006969AF"/>
    <w:rsid w:val="0069728F"/>
    <w:rsid w:val="006973B3"/>
    <w:rsid w:val="006A0495"/>
    <w:rsid w:val="006A0B19"/>
    <w:rsid w:val="006A1621"/>
    <w:rsid w:val="006A3118"/>
    <w:rsid w:val="006A411A"/>
    <w:rsid w:val="006A4483"/>
    <w:rsid w:val="006A4862"/>
    <w:rsid w:val="006A53D6"/>
    <w:rsid w:val="006A54CD"/>
    <w:rsid w:val="006A6BD5"/>
    <w:rsid w:val="006A743D"/>
    <w:rsid w:val="006A79AE"/>
    <w:rsid w:val="006B07DF"/>
    <w:rsid w:val="006B12D0"/>
    <w:rsid w:val="006B1366"/>
    <w:rsid w:val="006B13E4"/>
    <w:rsid w:val="006B1A15"/>
    <w:rsid w:val="006B2026"/>
    <w:rsid w:val="006B24F2"/>
    <w:rsid w:val="006B25D3"/>
    <w:rsid w:val="006B2756"/>
    <w:rsid w:val="006B2D64"/>
    <w:rsid w:val="006B510F"/>
    <w:rsid w:val="006B5862"/>
    <w:rsid w:val="006B5F2B"/>
    <w:rsid w:val="006B60F0"/>
    <w:rsid w:val="006C0009"/>
    <w:rsid w:val="006C08BF"/>
    <w:rsid w:val="006C2015"/>
    <w:rsid w:val="006C277B"/>
    <w:rsid w:val="006C328C"/>
    <w:rsid w:val="006C393B"/>
    <w:rsid w:val="006C3B2A"/>
    <w:rsid w:val="006C3F69"/>
    <w:rsid w:val="006C51CC"/>
    <w:rsid w:val="006C5393"/>
    <w:rsid w:val="006C53F7"/>
    <w:rsid w:val="006C5663"/>
    <w:rsid w:val="006C7055"/>
    <w:rsid w:val="006C7CDF"/>
    <w:rsid w:val="006C7EB0"/>
    <w:rsid w:val="006D0381"/>
    <w:rsid w:val="006D109C"/>
    <w:rsid w:val="006D2FD0"/>
    <w:rsid w:val="006D3546"/>
    <w:rsid w:val="006D3ACC"/>
    <w:rsid w:val="006D3C17"/>
    <w:rsid w:val="006D3DB2"/>
    <w:rsid w:val="006D3E92"/>
    <w:rsid w:val="006D4369"/>
    <w:rsid w:val="006D5608"/>
    <w:rsid w:val="006D5FA5"/>
    <w:rsid w:val="006D617A"/>
    <w:rsid w:val="006D6604"/>
    <w:rsid w:val="006D6E51"/>
    <w:rsid w:val="006D7C6B"/>
    <w:rsid w:val="006E0B19"/>
    <w:rsid w:val="006E0D08"/>
    <w:rsid w:val="006E0F5A"/>
    <w:rsid w:val="006E143D"/>
    <w:rsid w:val="006E161E"/>
    <w:rsid w:val="006E21CD"/>
    <w:rsid w:val="006E2459"/>
    <w:rsid w:val="006E3359"/>
    <w:rsid w:val="006E3422"/>
    <w:rsid w:val="006E3649"/>
    <w:rsid w:val="006E3E35"/>
    <w:rsid w:val="006E50B3"/>
    <w:rsid w:val="006E547B"/>
    <w:rsid w:val="006E5B60"/>
    <w:rsid w:val="006E5C5E"/>
    <w:rsid w:val="006E6B32"/>
    <w:rsid w:val="006E6EE7"/>
    <w:rsid w:val="006F003E"/>
    <w:rsid w:val="006F0266"/>
    <w:rsid w:val="006F0705"/>
    <w:rsid w:val="006F1815"/>
    <w:rsid w:val="006F3C93"/>
    <w:rsid w:val="006F4054"/>
    <w:rsid w:val="006F437B"/>
    <w:rsid w:val="006F4AB9"/>
    <w:rsid w:val="006F4FF1"/>
    <w:rsid w:val="006F7277"/>
    <w:rsid w:val="006FEAEA"/>
    <w:rsid w:val="007000A4"/>
    <w:rsid w:val="007002AC"/>
    <w:rsid w:val="0070097F"/>
    <w:rsid w:val="0070148E"/>
    <w:rsid w:val="007016C3"/>
    <w:rsid w:val="007025F3"/>
    <w:rsid w:val="00703822"/>
    <w:rsid w:val="007048F5"/>
    <w:rsid w:val="00704B42"/>
    <w:rsid w:val="00704D49"/>
    <w:rsid w:val="00705112"/>
    <w:rsid w:val="00705390"/>
    <w:rsid w:val="007070CF"/>
    <w:rsid w:val="00707196"/>
    <w:rsid w:val="0070739A"/>
    <w:rsid w:val="007078A3"/>
    <w:rsid w:val="00707BCD"/>
    <w:rsid w:val="0071117A"/>
    <w:rsid w:val="00711744"/>
    <w:rsid w:val="00711B12"/>
    <w:rsid w:val="00711D73"/>
    <w:rsid w:val="00712061"/>
    <w:rsid w:val="00713976"/>
    <w:rsid w:val="00713F07"/>
    <w:rsid w:val="0071405C"/>
    <w:rsid w:val="0071434C"/>
    <w:rsid w:val="007146FE"/>
    <w:rsid w:val="00715411"/>
    <w:rsid w:val="00715989"/>
    <w:rsid w:val="00715ED3"/>
    <w:rsid w:val="00717447"/>
    <w:rsid w:val="00720F24"/>
    <w:rsid w:val="0072280A"/>
    <w:rsid w:val="00722AD2"/>
    <w:rsid w:val="00724422"/>
    <w:rsid w:val="00724709"/>
    <w:rsid w:val="007248A2"/>
    <w:rsid w:val="00724FA1"/>
    <w:rsid w:val="0072534E"/>
    <w:rsid w:val="00725F1A"/>
    <w:rsid w:val="0072738B"/>
    <w:rsid w:val="0072794D"/>
    <w:rsid w:val="0073067D"/>
    <w:rsid w:val="00730775"/>
    <w:rsid w:val="007309B3"/>
    <w:rsid w:val="007316A8"/>
    <w:rsid w:val="00731A5A"/>
    <w:rsid w:val="00731EF6"/>
    <w:rsid w:val="00733A9A"/>
    <w:rsid w:val="00733C8C"/>
    <w:rsid w:val="0073437E"/>
    <w:rsid w:val="00734928"/>
    <w:rsid w:val="00734F62"/>
    <w:rsid w:val="00736C39"/>
    <w:rsid w:val="007420C6"/>
    <w:rsid w:val="00743F2B"/>
    <w:rsid w:val="007445B2"/>
    <w:rsid w:val="00744761"/>
    <w:rsid w:val="007448A6"/>
    <w:rsid w:val="00746EAB"/>
    <w:rsid w:val="007507F2"/>
    <w:rsid w:val="00750E9E"/>
    <w:rsid w:val="00751468"/>
    <w:rsid w:val="00751A76"/>
    <w:rsid w:val="00751CFF"/>
    <w:rsid w:val="00753812"/>
    <w:rsid w:val="0075383B"/>
    <w:rsid w:val="0075399C"/>
    <w:rsid w:val="00753E94"/>
    <w:rsid w:val="00753F91"/>
    <w:rsid w:val="00754475"/>
    <w:rsid w:val="007547FF"/>
    <w:rsid w:val="0075538A"/>
    <w:rsid w:val="007553B0"/>
    <w:rsid w:val="00755B82"/>
    <w:rsid w:val="00755F93"/>
    <w:rsid w:val="00756352"/>
    <w:rsid w:val="0075678B"/>
    <w:rsid w:val="00756954"/>
    <w:rsid w:val="007574E7"/>
    <w:rsid w:val="0075760E"/>
    <w:rsid w:val="00757D25"/>
    <w:rsid w:val="00760945"/>
    <w:rsid w:val="00761635"/>
    <w:rsid w:val="00763B18"/>
    <w:rsid w:val="00764A66"/>
    <w:rsid w:val="00764CE7"/>
    <w:rsid w:val="0076525B"/>
    <w:rsid w:val="007654ED"/>
    <w:rsid w:val="007655FC"/>
    <w:rsid w:val="00765903"/>
    <w:rsid w:val="00765B50"/>
    <w:rsid w:val="00765F4D"/>
    <w:rsid w:val="0076651C"/>
    <w:rsid w:val="00767513"/>
    <w:rsid w:val="007675A1"/>
    <w:rsid w:val="00770878"/>
    <w:rsid w:val="00770FB2"/>
    <w:rsid w:val="007711EF"/>
    <w:rsid w:val="00772354"/>
    <w:rsid w:val="00772465"/>
    <w:rsid w:val="00772D2D"/>
    <w:rsid w:val="00773B77"/>
    <w:rsid w:val="00773B89"/>
    <w:rsid w:val="00773C07"/>
    <w:rsid w:val="007742BB"/>
    <w:rsid w:val="00774F7A"/>
    <w:rsid w:val="00775254"/>
    <w:rsid w:val="00775DEE"/>
    <w:rsid w:val="00776D16"/>
    <w:rsid w:val="00776F09"/>
    <w:rsid w:val="00776FC2"/>
    <w:rsid w:val="00780841"/>
    <w:rsid w:val="00780F2C"/>
    <w:rsid w:val="00781005"/>
    <w:rsid w:val="007823D3"/>
    <w:rsid w:val="00784851"/>
    <w:rsid w:val="007850A6"/>
    <w:rsid w:val="00786798"/>
    <w:rsid w:val="00786B6B"/>
    <w:rsid w:val="00786E01"/>
    <w:rsid w:val="00787FD7"/>
    <w:rsid w:val="00790443"/>
    <w:rsid w:val="00791312"/>
    <w:rsid w:val="00791776"/>
    <w:rsid w:val="00792486"/>
    <w:rsid w:val="00792606"/>
    <w:rsid w:val="00792A58"/>
    <w:rsid w:val="00793497"/>
    <w:rsid w:val="007935AE"/>
    <w:rsid w:val="0079363F"/>
    <w:rsid w:val="00794C52"/>
    <w:rsid w:val="00794D8B"/>
    <w:rsid w:val="00795C3A"/>
    <w:rsid w:val="007967CB"/>
    <w:rsid w:val="0079690E"/>
    <w:rsid w:val="00796A68"/>
    <w:rsid w:val="00796DEB"/>
    <w:rsid w:val="0079701D"/>
    <w:rsid w:val="007972D3"/>
    <w:rsid w:val="00797B2D"/>
    <w:rsid w:val="00797C4F"/>
    <w:rsid w:val="007A05B1"/>
    <w:rsid w:val="007A29AA"/>
    <w:rsid w:val="007A2F9E"/>
    <w:rsid w:val="007A4A2D"/>
    <w:rsid w:val="007A4F09"/>
    <w:rsid w:val="007A5225"/>
    <w:rsid w:val="007A5433"/>
    <w:rsid w:val="007A61FD"/>
    <w:rsid w:val="007A65C9"/>
    <w:rsid w:val="007A6B4E"/>
    <w:rsid w:val="007A6F90"/>
    <w:rsid w:val="007A741E"/>
    <w:rsid w:val="007A77AE"/>
    <w:rsid w:val="007A7CC0"/>
    <w:rsid w:val="007B00DD"/>
    <w:rsid w:val="007B0387"/>
    <w:rsid w:val="007B08E1"/>
    <w:rsid w:val="007B0B1F"/>
    <w:rsid w:val="007B0D34"/>
    <w:rsid w:val="007B1A80"/>
    <w:rsid w:val="007B201D"/>
    <w:rsid w:val="007B2281"/>
    <w:rsid w:val="007B2FB5"/>
    <w:rsid w:val="007B334D"/>
    <w:rsid w:val="007B42FE"/>
    <w:rsid w:val="007B61D0"/>
    <w:rsid w:val="007B6AA4"/>
    <w:rsid w:val="007B6DDC"/>
    <w:rsid w:val="007C06E9"/>
    <w:rsid w:val="007C10B2"/>
    <w:rsid w:val="007C1409"/>
    <w:rsid w:val="007C1653"/>
    <w:rsid w:val="007C2BDC"/>
    <w:rsid w:val="007C385A"/>
    <w:rsid w:val="007C38F3"/>
    <w:rsid w:val="007C3E41"/>
    <w:rsid w:val="007C3F71"/>
    <w:rsid w:val="007C412F"/>
    <w:rsid w:val="007C5B59"/>
    <w:rsid w:val="007C6D77"/>
    <w:rsid w:val="007C7A39"/>
    <w:rsid w:val="007C7C7B"/>
    <w:rsid w:val="007D04B5"/>
    <w:rsid w:val="007D07E3"/>
    <w:rsid w:val="007D0BDC"/>
    <w:rsid w:val="007D2058"/>
    <w:rsid w:val="007D2609"/>
    <w:rsid w:val="007D2A72"/>
    <w:rsid w:val="007D3D29"/>
    <w:rsid w:val="007D6408"/>
    <w:rsid w:val="007D6759"/>
    <w:rsid w:val="007D74C6"/>
    <w:rsid w:val="007E090B"/>
    <w:rsid w:val="007E0B6F"/>
    <w:rsid w:val="007E0F63"/>
    <w:rsid w:val="007E11BF"/>
    <w:rsid w:val="007E13A4"/>
    <w:rsid w:val="007E1A48"/>
    <w:rsid w:val="007E2EA2"/>
    <w:rsid w:val="007E2ED0"/>
    <w:rsid w:val="007E3183"/>
    <w:rsid w:val="007E363D"/>
    <w:rsid w:val="007E41BD"/>
    <w:rsid w:val="007E4A45"/>
    <w:rsid w:val="007E4B12"/>
    <w:rsid w:val="007E5F98"/>
    <w:rsid w:val="007E6A7A"/>
    <w:rsid w:val="007E6B39"/>
    <w:rsid w:val="007E7255"/>
    <w:rsid w:val="007E75E5"/>
    <w:rsid w:val="007E7FBC"/>
    <w:rsid w:val="007F086A"/>
    <w:rsid w:val="007F1C5A"/>
    <w:rsid w:val="007F1F94"/>
    <w:rsid w:val="007F29D3"/>
    <w:rsid w:val="007F3A58"/>
    <w:rsid w:val="007F3BB0"/>
    <w:rsid w:val="007F454B"/>
    <w:rsid w:val="007F4A50"/>
    <w:rsid w:val="007F6613"/>
    <w:rsid w:val="007F69D9"/>
    <w:rsid w:val="007F7383"/>
    <w:rsid w:val="007F73DC"/>
    <w:rsid w:val="007F76A1"/>
    <w:rsid w:val="008001E9"/>
    <w:rsid w:val="00801511"/>
    <w:rsid w:val="008019DC"/>
    <w:rsid w:val="00802775"/>
    <w:rsid w:val="00802D17"/>
    <w:rsid w:val="00803CB9"/>
    <w:rsid w:val="00804712"/>
    <w:rsid w:val="008049D5"/>
    <w:rsid w:val="0080571A"/>
    <w:rsid w:val="0080645F"/>
    <w:rsid w:val="00810634"/>
    <w:rsid w:val="00810A46"/>
    <w:rsid w:val="00811883"/>
    <w:rsid w:val="0081274D"/>
    <w:rsid w:val="00816FA9"/>
    <w:rsid w:val="00817F7A"/>
    <w:rsid w:val="00820903"/>
    <w:rsid w:val="00820AD1"/>
    <w:rsid w:val="00820F38"/>
    <w:rsid w:val="00821076"/>
    <w:rsid w:val="0082192F"/>
    <w:rsid w:val="00821D76"/>
    <w:rsid w:val="008244BF"/>
    <w:rsid w:val="00824AF9"/>
    <w:rsid w:val="00825977"/>
    <w:rsid w:val="00825F28"/>
    <w:rsid w:val="00826347"/>
    <w:rsid w:val="008264A8"/>
    <w:rsid w:val="00826741"/>
    <w:rsid w:val="00826B6F"/>
    <w:rsid w:val="00830363"/>
    <w:rsid w:val="00830E46"/>
    <w:rsid w:val="008313DA"/>
    <w:rsid w:val="008330CD"/>
    <w:rsid w:val="0083408C"/>
    <w:rsid w:val="00834396"/>
    <w:rsid w:val="00834F27"/>
    <w:rsid w:val="00835443"/>
    <w:rsid w:val="00835B0A"/>
    <w:rsid w:val="00835E0B"/>
    <w:rsid w:val="00835E0C"/>
    <w:rsid w:val="00836B83"/>
    <w:rsid w:val="00836CD6"/>
    <w:rsid w:val="008374CA"/>
    <w:rsid w:val="00837AC6"/>
    <w:rsid w:val="00837FFB"/>
    <w:rsid w:val="00840191"/>
    <w:rsid w:val="008401C5"/>
    <w:rsid w:val="0084059C"/>
    <w:rsid w:val="00840A28"/>
    <w:rsid w:val="008419E0"/>
    <w:rsid w:val="00842C5D"/>
    <w:rsid w:val="00843804"/>
    <w:rsid w:val="00844545"/>
    <w:rsid w:val="008448B4"/>
    <w:rsid w:val="008452F6"/>
    <w:rsid w:val="0084662D"/>
    <w:rsid w:val="008468EE"/>
    <w:rsid w:val="00851595"/>
    <w:rsid w:val="008516EE"/>
    <w:rsid w:val="008517EA"/>
    <w:rsid w:val="00852EB9"/>
    <w:rsid w:val="00852F0C"/>
    <w:rsid w:val="00852FD7"/>
    <w:rsid w:val="00861251"/>
    <w:rsid w:val="008614B3"/>
    <w:rsid w:val="00861DCA"/>
    <w:rsid w:val="00862692"/>
    <w:rsid w:val="0086340D"/>
    <w:rsid w:val="008637DE"/>
    <w:rsid w:val="00864EA2"/>
    <w:rsid w:val="00865DE7"/>
    <w:rsid w:val="00866A85"/>
    <w:rsid w:val="00866BE5"/>
    <w:rsid w:val="0086709A"/>
    <w:rsid w:val="0086789C"/>
    <w:rsid w:val="00871EB9"/>
    <w:rsid w:val="008738A7"/>
    <w:rsid w:val="0087393A"/>
    <w:rsid w:val="00873A5D"/>
    <w:rsid w:val="00876DDE"/>
    <w:rsid w:val="00877651"/>
    <w:rsid w:val="00877DF4"/>
    <w:rsid w:val="008800C6"/>
    <w:rsid w:val="0088010E"/>
    <w:rsid w:val="00880268"/>
    <w:rsid w:val="008802B3"/>
    <w:rsid w:val="00880523"/>
    <w:rsid w:val="008809A8"/>
    <w:rsid w:val="00880DA1"/>
    <w:rsid w:val="00880E5B"/>
    <w:rsid w:val="00881382"/>
    <w:rsid w:val="00881DAF"/>
    <w:rsid w:val="00881E4C"/>
    <w:rsid w:val="00883824"/>
    <w:rsid w:val="0088422A"/>
    <w:rsid w:val="00884772"/>
    <w:rsid w:val="00884A50"/>
    <w:rsid w:val="00884B3A"/>
    <w:rsid w:val="00885AE8"/>
    <w:rsid w:val="00886DB5"/>
    <w:rsid w:val="00887034"/>
    <w:rsid w:val="00887B71"/>
    <w:rsid w:val="00887DEE"/>
    <w:rsid w:val="00891377"/>
    <w:rsid w:val="008921D7"/>
    <w:rsid w:val="00892351"/>
    <w:rsid w:val="00892D6F"/>
    <w:rsid w:val="008932B9"/>
    <w:rsid w:val="00893525"/>
    <w:rsid w:val="00893ADA"/>
    <w:rsid w:val="00894F88"/>
    <w:rsid w:val="00895329"/>
    <w:rsid w:val="008957E6"/>
    <w:rsid w:val="00897B05"/>
    <w:rsid w:val="00897BB4"/>
    <w:rsid w:val="008A0E9E"/>
    <w:rsid w:val="008A144B"/>
    <w:rsid w:val="008A2749"/>
    <w:rsid w:val="008A2BAC"/>
    <w:rsid w:val="008A2F60"/>
    <w:rsid w:val="008A39F4"/>
    <w:rsid w:val="008A4455"/>
    <w:rsid w:val="008A6260"/>
    <w:rsid w:val="008A667B"/>
    <w:rsid w:val="008A689A"/>
    <w:rsid w:val="008A7556"/>
    <w:rsid w:val="008A7B65"/>
    <w:rsid w:val="008B05FD"/>
    <w:rsid w:val="008B1B69"/>
    <w:rsid w:val="008B1D1B"/>
    <w:rsid w:val="008B2800"/>
    <w:rsid w:val="008B3156"/>
    <w:rsid w:val="008B4075"/>
    <w:rsid w:val="008B5039"/>
    <w:rsid w:val="008B5262"/>
    <w:rsid w:val="008B542C"/>
    <w:rsid w:val="008B68FD"/>
    <w:rsid w:val="008B716A"/>
    <w:rsid w:val="008B7945"/>
    <w:rsid w:val="008C08A1"/>
    <w:rsid w:val="008C10AC"/>
    <w:rsid w:val="008C17A0"/>
    <w:rsid w:val="008C1C93"/>
    <w:rsid w:val="008C28EB"/>
    <w:rsid w:val="008C2A71"/>
    <w:rsid w:val="008C2D4C"/>
    <w:rsid w:val="008C307A"/>
    <w:rsid w:val="008C3322"/>
    <w:rsid w:val="008C484A"/>
    <w:rsid w:val="008C65A4"/>
    <w:rsid w:val="008C6F72"/>
    <w:rsid w:val="008C7A78"/>
    <w:rsid w:val="008D0920"/>
    <w:rsid w:val="008D0A52"/>
    <w:rsid w:val="008D1E23"/>
    <w:rsid w:val="008D2B20"/>
    <w:rsid w:val="008D420B"/>
    <w:rsid w:val="008D526D"/>
    <w:rsid w:val="008D5373"/>
    <w:rsid w:val="008D6118"/>
    <w:rsid w:val="008D7813"/>
    <w:rsid w:val="008E03B0"/>
    <w:rsid w:val="008E09C9"/>
    <w:rsid w:val="008E157D"/>
    <w:rsid w:val="008E15F0"/>
    <w:rsid w:val="008E25DC"/>
    <w:rsid w:val="008E3D0D"/>
    <w:rsid w:val="008E4DC0"/>
    <w:rsid w:val="008E554E"/>
    <w:rsid w:val="008E62DD"/>
    <w:rsid w:val="008E66F9"/>
    <w:rsid w:val="008E6C14"/>
    <w:rsid w:val="008E76DD"/>
    <w:rsid w:val="008E7D75"/>
    <w:rsid w:val="008E7E16"/>
    <w:rsid w:val="008F050A"/>
    <w:rsid w:val="008F1D77"/>
    <w:rsid w:val="008F37E2"/>
    <w:rsid w:val="008F3CD1"/>
    <w:rsid w:val="008F53D0"/>
    <w:rsid w:val="008F55DD"/>
    <w:rsid w:val="008F58B4"/>
    <w:rsid w:val="008F590C"/>
    <w:rsid w:val="008F6156"/>
    <w:rsid w:val="008F6CA4"/>
    <w:rsid w:val="008F6DB8"/>
    <w:rsid w:val="008F79DE"/>
    <w:rsid w:val="008F7C84"/>
    <w:rsid w:val="00900322"/>
    <w:rsid w:val="00900461"/>
    <w:rsid w:val="00900877"/>
    <w:rsid w:val="009011C4"/>
    <w:rsid w:val="0090187D"/>
    <w:rsid w:val="00902A61"/>
    <w:rsid w:val="00903634"/>
    <w:rsid w:val="009038F6"/>
    <w:rsid w:val="00903A70"/>
    <w:rsid w:val="00904812"/>
    <w:rsid w:val="00905171"/>
    <w:rsid w:val="009058E5"/>
    <w:rsid w:val="00905C80"/>
    <w:rsid w:val="00906998"/>
    <w:rsid w:val="009070FA"/>
    <w:rsid w:val="009076B5"/>
    <w:rsid w:val="009116E8"/>
    <w:rsid w:val="00912644"/>
    <w:rsid w:val="009127A8"/>
    <w:rsid w:val="00912DB1"/>
    <w:rsid w:val="00912EBA"/>
    <w:rsid w:val="009134E0"/>
    <w:rsid w:val="009148CC"/>
    <w:rsid w:val="00914BC5"/>
    <w:rsid w:val="0091506C"/>
    <w:rsid w:val="00915C97"/>
    <w:rsid w:val="00916125"/>
    <w:rsid w:val="00916ACF"/>
    <w:rsid w:val="009174FC"/>
    <w:rsid w:val="00917553"/>
    <w:rsid w:val="0091755B"/>
    <w:rsid w:val="00917C83"/>
    <w:rsid w:val="00917CE4"/>
    <w:rsid w:val="00917D74"/>
    <w:rsid w:val="00920606"/>
    <w:rsid w:val="0092157E"/>
    <w:rsid w:val="00922C8B"/>
    <w:rsid w:val="00922F1C"/>
    <w:rsid w:val="00924059"/>
    <w:rsid w:val="0092489D"/>
    <w:rsid w:val="00925895"/>
    <w:rsid w:val="00925DC9"/>
    <w:rsid w:val="009265A6"/>
    <w:rsid w:val="0092788D"/>
    <w:rsid w:val="0093011B"/>
    <w:rsid w:val="009301AA"/>
    <w:rsid w:val="00930DDE"/>
    <w:rsid w:val="009316DC"/>
    <w:rsid w:val="00932B93"/>
    <w:rsid w:val="00932C02"/>
    <w:rsid w:val="00933517"/>
    <w:rsid w:val="00934925"/>
    <w:rsid w:val="009354E3"/>
    <w:rsid w:val="00936B6F"/>
    <w:rsid w:val="00940E2E"/>
    <w:rsid w:val="009418AA"/>
    <w:rsid w:val="00942B23"/>
    <w:rsid w:val="00942E17"/>
    <w:rsid w:val="00942FEB"/>
    <w:rsid w:val="00943237"/>
    <w:rsid w:val="0094396B"/>
    <w:rsid w:val="00943B48"/>
    <w:rsid w:val="00943E93"/>
    <w:rsid w:val="00944424"/>
    <w:rsid w:val="0094512B"/>
    <w:rsid w:val="00945464"/>
    <w:rsid w:val="009464B1"/>
    <w:rsid w:val="00950221"/>
    <w:rsid w:val="0095095E"/>
    <w:rsid w:val="00950BCC"/>
    <w:rsid w:val="00950BEF"/>
    <w:rsid w:val="00950E74"/>
    <w:rsid w:val="009515BD"/>
    <w:rsid w:val="00955D6D"/>
    <w:rsid w:val="00956C77"/>
    <w:rsid w:val="0095787F"/>
    <w:rsid w:val="00960AD1"/>
    <w:rsid w:val="009623F0"/>
    <w:rsid w:val="00962A50"/>
    <w:rsid w:val="009632B1"/>
    <w:rsid w:val="00963E3F"/>
    <w:rsid w:val="0096731E"/>
    <w:rsid w:val="009676F4"/>
    <w:rsid w:val="0097010A"/>
    <w:rsid w:val="00971443"/>
    <w:rsid w:val="00971992"/>
    <w:rsid w:val="009728E3"/>
    <w:rsid w:val="00972BB6"/>
    <w:rsid w:val="009731D9"/>
    <w:rsid w:val="009746DB"/>
    <w:rsid w:val="0097470B"/>
    <w:rsid w:val="009747BF"/>
    <w:rsid w:val="009747C1"/>
    <w:rsid w:val="00974F4C"/>
    <w:rsid w:val="0097554E"/>
    <w:rsid w:val="00975903"/>
    <w:rsid w:val="00975A0A"/>
    <w:rsid w:val="00977108"/>
    <w:rsid w:val="00977898"/>
    <w:rsid w:val="00977D79"/>
    <w:rsid w:val="0098072F"/>
    <w:rsid w:val="00980786"/>
    <w:rsid w:val="00980B39"/>
    <w:rsid w:val="00982AC6"/>
    <w:rsid w:val="00982F25"/>
    <w:rsid w:val="00983101"/>
    <w:rsid w:val="0098343D"/>
    <w:rsid w:val="00983551"/>
    <w:rsid w:val="00983C77"/>
    <w:rsid w:val="00984252"/>
    <w:rsid w:val="009877C2"/>
    <w:rsid w:val="00990B29"/>
    <w:rsid w:val="00990EDB"/>
    <w:rsid w:val="009914CF"/>
    <w:rsid w:val="00991892"/>
    <w:rsid w:val="009926D5"/>
    <w:rsid w:val="00992AE1"/>
    <w:rsid w:val="00992EC4"/>
    <w:rsid w:val="00992EE9"/>
    <w:rsid w:val="00993F20"/>
    <w:rsid w:val="00994A49"/>
    <w:rsid w:val="00994B26"/>
    <w:rsid w:val="00995B2E"/>
    <w:rsid w:val="00996E6F"/>
    <w:rsid w:val="009977BC"/>
    <w:rsid w:val="009A0189"/>
    <w:rsid w:val="009A0250"/>
    <w:rsid w:val="009A047F"/>
    <w:rsid w:val="009A07C0"/>
    <w:rsid w:val="009A17F0"/>
    <w:rsid w:val="009A1C64"/>
    <w:rsid w:val="009A3994"/>
    <w:rsid w:val="009A4652"/>
    <w:rsid w:val="009A4C02"/>
    <w:rsid w:val="009A4FF9"/>
    <w:rsid w:val="009A526C"/>
    <w:rsid w:val="009A5873"/>
    <w:rsid w:val="009A5B2B"/>
    <w:rsid w:val="009A6B11"/>
    <w:rsid w:val="009B0B91"/>
    <w:rsid w:val="009B11B2"/>
    <w:rsid w:val="009B16B0"/>
    <w:rsid w:val="009B27CB"/>
    <w:rsid w:val="009B2BC1"/>
    <w:rsid w:val="009B2CB7"/>
    <w:rsid w:val="009B3968"/>
    <w:rsid w:val="009B3998"/>
    <w:rsid w:val="009B417D"/>
    <w:rsid w:val="009B428A"/>
    <w:rsid w:val="009B46D6"/>
    <w:rsid w:val="009B46E5"/>
    <w:rsid w:val="009B5040"/>
    <w:rsid w:val="009B58C6"/>
    <w:rsid w:val="009B5D08"/>
    <w:rsid w:val="009B601A"/>
    <w:rsid w:val="009B67CD"/>
    <w:rsid w:val="009B7A34"/>
    <w:rsid w:val="009C05AB"/>
    <w:rsid w:val="009C17FF"/>
    <w:rsid w:val="009C1917"/>
    <w:rsid w:val="009C232D"/>
    <w:rsid w:val="009C2400"/>
    <w:rsid w:val="009C242C"/>
    <w:rsid w:val="009C27F8"/>
    <w:rsid w:val="009C2D9C"/>
    <w:rsid w:val="009C34FB"/>
    <w:rsid w:val="009C3ECF"/>
    <w:rsid w:val="009C6080"/>
    <w:rsid w:val="009C6270"/>
    <w:rsid w:val="009C637F"/>
    <w:rsid w:val="009C63DF"/>
    <w:rsid w:val="009C72A3"/>
    <w:rsid w:val="009C740A"/>
    <w:rsid w:val="009C7949"/>
    <w:rsid w:val="009C7AB9"/>
    <w:rsid w:val="009D018B"/>
    <w:rsid w:val="009D0DF7"/>
    <w:rsid w:val="009D0FD3"/>
    <w:rsid w:val="009D1363"/>
    <w:rsid w:val="009D17CD"/>
    <w:rsid w:val="009D17CF"/>
    <w:rsid w:val="009D19DA"/>
    <w:rsid w:val="009D24D8"/>
    <w:rsid w:val="009D2C41"/>
    <w:rsid w:val="009D31E0"/>
    <w:rsid w:val="009D3627"/>
    <w:rsid w:val="009D3ABE"/>
    <w:rsid w:val="009D49C3"/>
    <w:rsid w:val="009D4B7C"/>
    <w:rsid w:val="009D52A1"/>
    <w:rsid w:val="009D595F"/>
    <w:rsid w:val="009D5AB0"/>
    <w:rsid w:val="009D5E63"/>
    <w:rsid w:val="009D7110"/>
    <w:rsid w:val="009E0232"/>
    <w:rsid w:val="009E2570"/>
    <w:rsid w:val="009E2EEA"/>
    <w:rsid w:val="009E4416"/>
    <w:rsid w:val="009E4AB0"/>
    <w:rsid w:val="009E4AC6"/>
    <w:rsid w:val="009E4F29"/>
    <w:rsid w:val="009E5903"/>
    <w:rsid w:val="009E5C71"/>
    <w:rsid w:val="009E643E"/>
    <w:rsid w:val="009E6836"/>
    <w:rsid w:val="009E699D"/>
    <w:rsid w:val="009E76C2"/>
    <w:rsid w:val="009F0540"/>
    <w:rsid w:val="009F1710"/>
    <w:rsid w:val="009F1742"/>
    <w:rsid w:val="009F1B03"/>
    <w:rsid w:val="009F2264"/>
    <w:rsid w:val="009F2862"/>
    <w:rsid w:val="009F2F34"/>
    <w:rsid w:val="009F3761"/>
    <w:rsid w:val="009F3BDD"/>
    <w:rsid w:val="009F3FCB"/>
    <w:rsid w:val="009F427A"/>
    <w:rsid w:val="009F4587"/>
    <w:rsid w:val="009F4988"/>
    <w:rsid w:val="009F55CA"/>
    <w:rsid w:val="009F58CB"/>
    <w:rsid w:val="009F5EAB"/>
    <w:rsid w:val="009F640B"/>
    <w:rsid w:val="009F7FBF"/>
    <w:rsid w:val="00A00471"/>
    <w:rsid w:val="00A01FF7"/>
    <w:rsid w:val="00A02824"/>
    <w:rsid w:val="00A02BEB"/>
    <w:rsid w:val="00A03414"/>
    <w:rsid w:val="00A040AA"/>
    <w:rsid w:val="00A045A8"/>
    <w:rsid w:val="00A0465D"/>
    <w:rsid w:val="00A05FAA"/>
    <w:rsid w:val="00A06859"/>
    <w:rsid w:val="00A06E0A"/>
    <w:rsid w:val="00A075B7"/>
    <w:rsid w:val="00A07B56"/>
    <w:rsid w:val="00A10C54"/>
    <w:rsid w:val="00A117EE"/>
    <w:rsid w:val="00A11F68"/>
    <w:rsid w:val="00A122AB"/>
    <w:rsid w:val="00A12BC0"/>
    <w:rsid w:val="00A14AD4"/>
    <w:rsid w:val="00A15512"/>
    <w:rsid w:val="00A15FD0"/>
    <w:rsid w:val="00A161D5"/>
    <w:rsid w:val="00A164FB"/>
    <w:rsid w:val="00A17DB3"/>
    <w:rsid w:val="00A20917"/>
    <w:rsid w:val="00A21404"/>
    <w:rsid w:val="00A2282D"/>
    <w:rsid w:val="00A22C3B"/>
    <w:rsid w:val="00A22F1C"/>
    <w:rsid w:val="00A23689"/>
    <w:rsid w:val="00A23ADC"/>
    <w:rsid w:val="00A24028"/>
    <w:rsid w:val="00A250C3"/>
    <w:rsid w:val="00A25401"/>
    <w:rsid w:val="00A2597B"/>
    <w:rsid w:val="00A25D9B"/>
    <w:rsid w:val="00A26437"/>
    <w:rsid w:val="00A26C3B"/>
    <w:rsid w:val="00A27357"/>
    <w:rsid w:val="00A27FDA"/>
    <w:rsid w:val="00A30757"/>
    <w:rsid w:val="00A30C37"/>
    <w:rsid w:val="00A31E77"/>
    <w:rsid w:val="00A3296A"/>
    <w:rsid w:val="00A3327B"/>
    <w:rsid w:val="00A332FE"/>
    <w:rsid w:val="00A33F3C"/>
    <w:rsid w:val="00A341F5"/>
    <w:rsid w:val="00A3449E"/>
    <w:rsid w:val="00A34C83"/>
    <w:rsid w:val="00A34DD3"/>
    <w:rsid w:val="00A35AFA"/>
    <w:rsid w:val="00A35CDD"/>
    <w:rsid w:val="00A36289"/>
    <w:rsid w:val="00A363F1"/>
    <w:rsid w:val="00A36C83"/>
    <w:rsid w:val="00A375CF"/>
    <w:rsid w:val="00A37C27"/>
    <w:rsid w:val="00A37D7A"/>
    <w:rsid w:val="00A37EAE"/>
    <w:rsid w:val="00A40E4B"/>
    <w:rsid w:val="00A41063"/>
    <w:rsid w:val="00A4160A"/>
    <w:rsid w:val="00A4165E"/>
    <w:rsid w:val="00A419CB"/>
    <w:rsid w:val="00A41BE7"/>
    <w:rsid w:val="00A42A17"/>
    <w:rsid w:val="00A437B7"/>
    <w:rsid w:val="00A43E9B"/>
    <w:rsid w:val="00A441AF"/>
    <w:rsid w:val="00A44744"/>
    <w:rsid w:val="00A4481D"/>
    <w:rsid w:val="00A44BF1"/>
    <w:rsid w:val="00A44E61"/>
    <w:rsid w:val="00A45890"/>
    <w:rsid w:val="00A4616D"/>
    <w:rsid w:val="00A478B7"/>
    <w:rsid w:val="00A47956"/>
    <w:rsid w:val="00A503D5"/>
    <w:rsid w:val="00A507FE"/>
    <w:rsid w:val="00A50C52"/>
    <w:rsid w:val="00A50F24"/>
    <w:rsid w:val="00A51790"/>
    <w:rsid w:val="00A51BD7"/>
    <w:rsid w:val="00A523DE"/>
    <w:rsid w:val="00A5277C"/>
    <w:rsid w:val="00A52E01"/>
    <w:rsid w:val="00A53F03"/>
    <w:rsid w:val="00A54155"/>
    <w:rsid w:val="00A5466C"/>
    <w:rsid w:val="00A5694C"/>
    <w:rsid w:val="00A57FE5"/>
    <w:rsid w:val="00A60613"/>
    <w:rsid w:val="00A6099D"/>
    <w:rsid w:val="00A61735"/>
    <w:rsid w:val="00A62B58"/>
    <w:rsid w:val="00A6338B"/>
    <w:rsid w:val="00A6489A"/>
    <w:rsid w:val="00A64CE7"/>
    <w:rsid w:val="00A658E6"/>
    <w:rsid w:val="00A6604F"/>
    <w:rsid w:val="00A665AD"/>
    <w:rsid w:val="00A674D3"/>
    <w:rsid w:val="00A70387"/>
    <w:rsid w:val="00A70885"/>
    <w:rsid w:val="00A70EEF"/>
    <w:rsid w:val="00A70F76"/>
    <w:rsid w:val="00A71A0B"/>
    <w:rsid w:val="00A71F57"/>
    <w:rsid w:val="00A74094"/>
    <w:rsid w:val="00A74119"/>
    <w:rsid w:val="00A74171"/>
    <w:rsid w:val="00A75503"/>
    <w:rsid w:val="00A75E01"/>
    <w:rsid w:val="00A768E2"/>
    <w:rsid w:val="00A769D2"/>
    <w:rsid w:val="00A76E98"/>
    <w:rsid w:val="00A7718D"/>
    <w:rsid w:val="00A7758B"/>
    <w:rsid w:val="00A777ED"/>
    <w:rsid w:val="00A77904"/>
    <w:rsid w:val="00A77A44"/>
    <w:rsid w:val="00A80093"/>
    <w:rsid w:val="00A80447"/>
    <w:rsid w:val="00A81DAF"/>
    <w:rsid w:val="00A828EA"/>
    <w:rsid w:val="00A83BD9"/>
    <w:rsid w:val="00A8410F"/>
    <w:rsid w:val="00A85262"/>
    <w:rsid w:val="00A85DF4"/>
    <w:rsid w:val="00A8690F"/>
    <w:rsid w:val="00A86923"/>
    <w:rsid w:val="00A86F89"/>
    <w:rsid w:val="00A87974"/>
    <w:rsid w:val="00A87C43"/>
    <w:rsid w:val="00A87F61"/>
    <w:rsid w:val="00A901B2"/>
    <w:rsid w:val="00A9035F"/>
    <w:rsid w:val="00A90439"/>
    <w:rsid w:val="00A90EB1"/>
    <w:rsid w:val="00A91C11"/>
    <w:rsid w:val="00A920F2"/>
    <w:rsid w:val="00A9224B"/>
    <w:rsid w:val="00A926C5"/>
    <w:rsid w:val="00A92827"/>
    <w:rsid w:val="00A93142"/>
    <w:rsid w:val="00A95374"/>
    <w:rsid w:val="00A95EE6"/>
    <w:rsid w:val="00A96D8A"/>
    <w:rsid w:val="00AA008F"/>
    <w:rsid w:val="00AA0359"/>
    <w:rsid w:val="00AA0B7B"/>
    <w:rsid w:val="00AA17EA"/>
    <w:rsid w:val="00AA19E4"/>
    <w:rsid w:val="00AA4473"/>
    <w:rsid w:val="00AA4B01"/>
    <w:rsid w:val="00AA54A9"/>
    <w:rsid w:val="00AA55B3"/>
    <w:rsid w:val="00AA68D9"/>
    <w:rsid w:val="00AA6E71"/>
    <w:rsid w:val="00AB0CA9"/>
    <w:rsid w:val="00AB0EB7"/>
    <w:rsid w:val="00AB1185"/>
    <w:rsid w:val="00AB14DD"/>
    <w:rsid w:val="00AB1565"/>
    <w:rsid w:val="00AB1647"/>
    <w:rsid w:val="00AB1E1A"/>
    <w:rsid w:val="00AB236C"/>
    <w:rsid w:val="00AB2752"/>
    <w:rsid w:val="00AB34FD"/>
    <w:rsid w:val="00AB3C4D"/>
    <w:rsid w:val="00AB4A25"/>
    <w:rsid w:val="00AB4F36"/>
    <w:rsid w:val="00AB4F92"/>
    <w:rsid w:val="00AB614D"/>
    <w:rsid w:val="00AB74D5"/>
    <w:rsid w:val="00AB78D4"/>
    <w:rsid w:val="00AC06DE"/>
    <w:rsid w:val="00AC0B12"/>
    <w:rsid w:val="00AC0D29"/>
    <w:rsid w:val="00AC0E32"/>
    <w:rsid w:val="00AC146B"/>
    <w:rsid w:val="00AC1ACB"/>
    <w:rsid w:val="00AC20B6"/>
    <w:rsid w:val="00AC259A"/>
    <w:rsid w:val="00AC2749"/>
    <w:rsid w:val="00AC3E6E"/>
    <w:rsid w:val="00AC5891"/>
    <w:rsid w:val="00AC58FF"/>
    <w:rsid w:val="00AC5E5D"/>
    <w:rsid w:val="00AC6CB9"/>
    <w:rsid w:val="00AC6DFE"/>
    <w:rsid w:val="00AC778F"/>
    <w:rsid w:val="00AD0AE4"/>
    <w:rsid w:val="00AD0D5B"/>
    <w:rsid w:val="00AD12BD"/>
    <w:rsid w:val="00AD1430"/>
    <w:rsid w:val="00AD2658"/>
    <w:rsid w:val="00AD2DD1"/>
    <w:rsid w:val="00AD2E20"/>
    <w:rsid w:val="00AD3037"/>
    <w:rsid w:val="00AD34A3"/>
    <w:rsid w:val="00AD3829"/>
    <w:rsid w:val="00AD3EAA"/>
    <w:rsid w:val="00AD3F87"/>
    <w:rsid w:val="00AD5C5A"/>
    <w:rsid w:val="00AD7F94"/>
    <w:rsid w:val="00AE0CC4"/>
    <w:rsid w:val="00AE1018"/>
    <w:rsid w:val="00AE1491"/>
    <w:rsid w:val="00AE1882"/>
    <w:rsid w:val="00AE1DD3"/>
    <w:rsid w:val="00AE2D03"/>
    <w:rsid w:val="00AE52FF"/>
    <w:rsid w:val="00AE576A"/>
    <w:rsid w:val="00AE5C8B"/>
    <w:rsid w:val="00AE6885"/>
    <w:rsid w:val="00AE68E3"/>
    <w:rsid w:val="00AF0132"/>
    <w:rsid w:val="00AF0336"/>
    <w:rsid w:val="00AF0354"/>
    <w:rsid w:val="00AF0606"/>
    <w:rsid w:val="00AF0C1F"/>
    <w:rsid w:val="00AF15F2"/>
    <w:rsid w:val="00AF186B"/>
    <w:rsid w:val="00AF2F0D"/>
    <w:rsid w:val="00AF4FA7"/>
    <w:rsid w:val="00AF72D3"/>
    <w:rsid w:val="00B01E01"/>
    <w:rsid w:val="00B025EE"/>
    <w:rsid w:val="00B02902"/>
    <w:rsid w:val="00B02C8F"/>
    <w:rsid w:val="00B03104"/>
    <w:rsid w:val="00B06A1C"/>
    <w:rsid w:val="00B10E47"/>
    <w:rsid w:val="00B11726"/>
    <w:rsid w:val="00B11751"/>
    <w:rsid w:val="00B1178C"/>
    <w:rsid w:val="00B11A22"/>
    <w:rsid w:val="00B12DC6"/>
    <w:rsid w:val="00B1313C"/>
    <w:rsid w:val="00B13F18"/>
    <w:rsid w:val="00B1460D"/>
    <w:rsid w:val="00B14A1A"/>
    <w:rsid w:val="00B14F74"/>
    <w:rsid w:val="00B15CD2"/>
    <w:rsid w:val="00B16523"/>
    <w:rsid w:val="00B16C7F"/>
    <w:rsid w:val="00B175BA"/>
    <w:rsid w:val="00B17921"/>
    <w:rsid w:val="00B17FDA"/>
    <w:rsid w:val="00B20466"/>
    <w:rsid w:val="00B20889"/>
    <w:rsid w:val="00B21514"/>
    <w:rsid w:val="00B220D5"/>
    <w:rsid w:val="00B225A2"/>
    <w:rsid w:val="00B22B6E"/>
    <w:rsid w:val="00B22D9A"/>
    <w:rsid w:val="00B23496"/>
    <w:rsid w:val="00B24428"/>
    <w:rsid w:val="00B24F7A"/>
    <w:rsid w:val="00B25910"/>
    <w:rsid w:val="00B2627A"/>
    <w:rsid w:val="00B2737D"/>
    <w:rsid w:val="00B27B26"/>
    <w:rsid w:val="00B27E46"/>
    <w:rsid w:val="00B27EA3"/>
    <w:rsid w:val="00B3019A"/>
    <w:rsid w:val="00B3066C"/>
    <w:rsid w:val="00B309FF"/>
    <w:rsid w:val="00B31171"/>
    <w:rsid w:val="00B3241F"/>
    <w:rsid w:val="00B32855"/>
    <w:rsid w:val="00B32A22"/>
    <w:rsid w:val="00B338F5"/>
    <w:rsid w:val="00B342AF"/>
    <w:rsid w:val="00B3467F"/>
    <w:rsid w:val="00B35F17"/>
    <w:rsid w:val="00B36DDC"/>
    <w:rsid w:val="00B36FAC"/>
    <w:rsid w:val="00B37FDC"/>
    <w:rsid w:val="00B400FB"/>
    <w:rsid w:val="00B417CE"/>
    <w:rsid w:val="00B43885"/>
    <w:rsid w:val="00B43C22"/>
    <w:rsid w:val="00B449BC"/>
    <w:rsid w:val="00B45500"/>
    <w:rsid w:val="00B459B2"/>
    <w:rsid w:val="00B45AF1"/>
    <w:rsid w:val="00B4714D"/>
    <w:rsid w:val="00B47B57"/>
    <w:rsid w:val="00B50095"/>
    <w:rsid w:val="00B50AA0"/>
    <w:rsid w:val="00B5197D"/>
    <w:rsid w:val="00B525A6"/>
    <w:rsid w:val="00B5307E"/>
    <w:rsid w:val="00B53F39"/>
    <w:rsid w:val="00B544A0"/>
    <w:rsid w:val="00B55AEB"/>
    <w:rsid w:val="00B55B28"/>
    <w:rsid w:val="00B56100"/>
    <w:rsid w:val="00B571C1"/>
    <w:rsid w:val="00B57D02"/>
    <w:rsid w:val="00B62868"/>
    <w:rsid w:val="00B63284"/>
    <w:rsid w:val="00B635B9"/>
    <w:rsid w:val="00B63BB5"/>
    <w:rsid w:val="00B64CCB"/>
    <w:rsid w:val="00B65406"/>
    <w:rsid w:val="00B677E4"/>
    <w:rsid w:val="00B7090D"/>
    <w:rsid w:val="00B70FD4"/>
    <w:rsid w:val="00B711C6"/>
    <w:rsid w:val="00B71CDD"/>
    <w:rsid w:val="00B71D5B"/>
    <w:rsid w:val="00B734D3"/>
    <w:rsid w:val="00B73894"/>
    <w:rsid w:val="00B73AB3"/>
    <w:rsid w:val="00B743AA"/>
    <w:rsid w:val="00B75EB8"/>
    <w:rsid w:val="00B76067"/>
    <w:rsid w:val="00B76695"/>
    <w:rsid w:val="00B76F69"/>
    <w:rsid w:val="00B77756"/>
    <w:rsid w:val="00B77CF1"/>
    <w:rsid w:val="00B800CB"/>
    <w:rsid w:val="00B801D3"/>
    <w:rsid w:val="00B806F3"/>
    <w:rsid w:val="00B8076B"/>
    <w:rsid w:val="00B81A4C"/>
    <w:rsid w:val="00B81DD9"/>
    <w:rsid w:val="00B83743"/>
    <w:rsid w:val="00B83AB7"/>
    <w:rsid w:val="00B83BB7"/>
    <w:rsid w:val="00B847AD"/>
    <w:rsid w:val="00B85798"/>
    <w:rsid w:val="00B862BA"/>
    <w:rsid w:val="00B863B7"/>
    <w:rsid w:val="00B86855"/>
    <w:rsid w:val="00B86A0A"/>
    <w:rsid w:val="00B87B7C"/>
    <w:rsid w:val="00B87C0F"/>
    <w:rsid w:val="00B90590"/>
    <w:rsid w:val="00B90A3D"/>
    <w:rsid w:val="00B9229B"/>
    <w:rsid w:val="00B928A9"/>
    <w:rsid w:val="00B92A82"/>
    <w:rsid w:val="00B93599"/>
    <w:rsid w:val="00B93C9F"/>
    <w:rsid w:val="00B94896"/>
    <w:rsid w:val="00B95884"/>
    <w:rsid w:val="00B95AE0"/>
    <w:rsid w:val="00B95B7A"/>
    <w:rsid w:val="00B97A91"/>
    <w:rsid w:val="00BA00CB"/>
    <w:rsid w:val="00BA1482"/>
    <w:rsid w:val="00BA1E66"/>
    <w:rsid w:val="00BA3F50"/>
    <w:rsid w:val="00BA442A"/>
    <w:rsid w:val="00BA4F2D"/>
    <w:rsid w:val="00BA5B80"/>
    <w:rsid w:val="00BA710A"/>
    <w:rsid w:val="00BA73BE"/>
    <w:rsid w:val="00BA781A"/>
    <w:rsid w:val="00BA7BF1"/>
    <w:rsid w:val="00BA7C8B"/>
    <w:rsid w:val="00BB05EF"/>
    <w:rsid w:val="00BB113A"/>
    <w:rsid w:val="00BB146F"/>
    <w:rsid w:val="00BB1747"/>
    <w:rsid w:val="00BB35B0"/>
    <w:rsid w:val="00BB3F3A"/>
    <w:rsid w:val="00BB518C"/>
    <w:rsid w:val="00BB63DC"/>
    <w:rsid w:val="00BB679A"/>
    <w:rsid w:val="00BB67B7"/>
    <w:rsid w:val="00BB6E4D"/>
    <w:rsid w:val="00BB6FC3"/>
    <w:rsid w:val="00BB77DF"/>
    <w:rsid w:val="00BC0EC5"/>
    <w:rsid w:val="00BC1C0D"/>
    <w:rsid w:val="00BC1F49"/>
    <w:rsid w:val="00BC256D"/>
    <w:rsid w:val="00BC3713"/>
    <w:rsid w:val="00BC4744"/>
    <w:rsid w:val="00BC48C5"/>
    <w:rsid w:val="00BC4D2C"/>
    <w:rsid w:val="00BC4EB4"/>
    <w:rsid w:val="00BC4F7D"/>
    <w:rsid w:val="00BC52FB"/>
    <w:rsid w:val="00BC5485"/>
    <w:rsid w:val="00BC5D45"/>
    <w:rsid w:val="00BC60F2"/>
    <w:rsid w:val="00BC62DC"/>
    <w:rsid w:val="00BC69F3"/>
    <w:rsid w:val="00BC6A14"/>
    <w:rsid w:val="00BC731E"/>
    <w:rsid w:val="00BC7472"/>
    <w:rsid w:val="00BC7587"/>
    <w:rsid w:val="00BC764F"/>
    <w:rsid w:val="00BD1AA7"/>
    <w:rsid w:val="00BD27AB"/>
    <w:rsid w:val="00BD3254"/>
    <w:rsid w:val="00BD39AD"/>
    <w:rsid w:val="00BD3A56"/>
    <w:rsid w:val="00BD3A78"/>
    <w:rsid w:val="00BD3E01"/>
    <w:rsid w:val="00BD4092"/>
    <w:rsid w:val="00BD65FE"/>
    <w:rsid w:val="00BE0DAD"/>
    <w:rsid w:val="00BE1D84"/>
    <w:rsid w:val="00BE2144"/>
    <w:rsid w:val="00BE33E8"/>
    <w:rsid w:val="00BE383C"/>
    <w:rsid w:val="00BE3C92"/>
    <w:rsid w:val="00BE3C97"/>
    <w:rsid w:val="00BE4D30"/>
    <w:rsid w:val="00BE4D86"/>
    <w:rsid w:val="00BE514E"/>
    <w:rsid w:val="00BE538A"/>
    <w:rsid w:val="00BE5A31"/>
    <w:rsid w:val="00BE667B"/>
    <w:rsid w:val="00BE717C"/>
    <w:rsid w:val="00BE7D72"/>
    <w:rsid w:val="00BE7DAE"/>
    <w:rsid w:val="00BF10FE"/>
    <w:rsid w:val="00BF1C4E"/>
    <w:rsid w:val="00BF1FD9"/>
    <w:rsid w:val="00BF3F2C"/>
    <w:rsid w:val="00BF4237"/>
    <w:rsid w:val="00BF5371"/>
    <w:rsid w:val="00BF60D6"/>
    <w:rsid w:val="00BF69C4"/>
    <w:rsid w:val="00BF714C"/>
    <w:rsid w:val="00C014D8"/>
    <w:rsid w:val="00C02227"/>
    <w:rsid w:val="00C02516"/>
    <w:rsid w:val="00C028A2"/>
    <w:rsid w:val="00C029E6"/>
    <w:rsid w:val="00C02D3F"/>
    <w:rsid w:val="00C02E01"/>
    <w:rsid w:val="00C02FB9"/>
    <w:rsid w:val="00C03634"/>
    <w:rsid w:val="00C04B52"/>
    <w:rsid w:val="00C0741D"/>
    <w:rsid w:val="00C07BF4"/>
    <w:rsid w:val="00C107C5"/>
    <w:rsid w:val="00C108BF"/>
    <w:rsid w:val="00C10CDA"/>
    <w:rsid w:val="00C124D0"/>
    <w:rsid w:val="00C12730"/>
    <w:rsid w:val="00C129B6"/>
    <w:rsid w:val="00C12C57"/>
    <w:rsid w:val="00C13CA4"/>
    <w:rsid w:val="00C1573C"/>
    <w:rsid w:val="00C16242"/>
    <w:rsid w:val="00C1650C"/>
    <w:rsid w:val="00C16D91"/>
    <w:rsid w:val="00C17A51"/>
    <w:rsid w:val="00C20479"/>
    <w:rsid w:val="00C21639"/>
    <w:rsid w:val="00C228F4"/>
    <w:rsid w:val="00C22A22"/>
    <w:rsid w:val="00C22D66"/>
    <w:rsid w:val="00C24E65"/>
    <w:rsid w:val="00C259F7"/>
    <w:rsid w:val="00C25B8C"/>
    <w:rsid w:val="00C25D00"/>
    <w:rsid w:val="00C25D56"/>
    <w:rsid w:val="00C25DCC"/>
    <w:rsid w:val="00C26A01"/>
    <w:rsid w:val="00C26C5B"/>
    <w:rsid w:val="00C270D5"/>
    <w:rsid w:val="00C30C48"/>
    <w:rsid w:val="00C30F0A"/>
    <w:rsid w:val="00C31367"/>
    <w:rsid w:val="00C32DE1"/>
    <w:rsid w:val="00C337CE"/>
    <w:rsid w:val="00C344D1"/>
    <w:rsid w:val="00C351A1"/>
    <w:rsid w:val="00C35588"/>
    <w:rsid w:val="00C35C81"/>
    <w:rsid w:val="00C35D75"/>
    <w:rsid w:val="00C36BD6"/>
    <w:rsid w:val="00C36FE7"/>
    <w:rsid w:val="00C37801"/>
    <w:rsid w:val="00C40696"/>
    <w:rsid w:val="00C40A07"/>
    <w:rsid w:val="00C40A64"/>
    <w:rsid w:val="00C417D6"/>
    <w:rsid w:val="00C418EF"/>
    <w:rsid w:val="00C41D96"/>
    <w:rsid w:val="00C436BC"/>
    <w:rsid w:val="00C43C00"/>
    <w:rsid w:val="00C446F4"/>
    <w:rsid w:val="00C47706"/>
    <w:rsid w:val="00C50666"/>
    <w:rsid w:val="00C50AC0"/>
    <w:rsid w:val="00C51491"/>
    <w:rsid w:val="00C520CE"/>
    <w:rsid w:val="00C52325"/>
    <w:rsid w:val="00C52899"/>
    <w:rsid w:val="00C53008"/>
    <w:rsid w:val="00C532F7"/>
    <w:rsid w:val="00C533E7"/>
    <w:rsid w:val="00C539B2"/>
    <w:rsid w:val="00C53B69"/>
    <w:rsid w:val="00C54F70"/>
    <w:rsid w:val="00C55204"/>
    <w:rsid w:val="00C5655A"/>
    <w:rsid w:val="00C56791"/>
    <w:rsid w:val="00C57921"/>
    <w:rsid w:val="00C601A2"/>
    <w:rsid w:val="00C60ED7"/>
    <w:rsid w:val="00C60F1E"/>
    <w:rsid w:val="00C615E3"/>
    <w:rsid w:val="00C61F9A"/>
    <w:rsid w:val="00C6218C"/>
    <w:rsid w:val="00C62C5D"/>
    <w:rsid w:val="00C63E87"/>
    <w:rsid w:val="00C65214"/>
    <w:rsid w:val="00C65283"/>
    <w:rsid w:val="00C65BA9"/>
    <w:rsid w:val="00C67B50"/>
    <w:rsid w:val="00C67E98"/>
    <w:rsid w:val="00C700EA"/>
    <w:rsid w:val="00C7103A"/>
    <w:rsid w:val="00C71D2B"/>
    <w:rsid w:val="00C71F50"/>
    <w:rsid w:val="00C72177"/>
    <w:rsid w:val="00C72352"/>
    <w:rsid w:val="00C724D2"/>
    <w:rsid w:val="00C7261C"/>
    <w:rsid w:val="00C7270A"/>
    <w:rsid w:val="00C72C7D"/>
    <w:rsid w:val="00C7446B"/>
    <w:rsid w:val="00C74EA8"/>
    <w:rsid w:val="00C75BD3"/>
    <w:rsid w:val="00C75D54"/>
    <w:rsid w:val="00C76450"/>
    <w:rsid w:val="00C771F6"/>
    <w:rsid w:val="00C77D9F"/>
    <w:rsid w:val="00C8006D"/>
    <w:rsid w:val="00C80B39"/>
    <w:rsid w:val="00C812A9"/>
    <w:rsid w:val="00C81421"/>
    <w:rsid w:val="00C81EAA"/>
    <w:rsid w:val="00C843A7"/>
    <w:rsid w:val="00C8556D"/>
    <w:rsid w:val="00C87A71"/>
    <w:rsid w:val="00C90AF6"/>
    <w:rsid w:val="00C90C72"/>
    <w:rsid w:val="00C92BC8"/>
    <w:rsid w:val="00C93063"/>
    <w:rsid w:val="00C93639"/>
    <w:rsid w:val="00C93AD8"/>
    <w:rsid w:val="00C941CA"/>
    <w:rsid w:val="00C94949"/>
    <w:rsid w:val="00C957ED"/>
    <w:rsid w:val="00C95C90"/>
    <w:rsid w:val="00C95DCD"/>
    <w:rsid w:val="00C96514"/>
    <w:rsid w:val="00C9670C"/>
    <w:rsid w:val="00C96B87"/>
    <w:rsid w:val="00C97114"/>
    <w:rsid w:val="00C9782E"/>
    <w:rsid w:val="00CA080D"/>
    <w:rsid w:val="00CA0965"/>
    <w:rsid w:val="00CA0A38"/>
    <w:rsid w:val="00CA1241"/>
    <w:rsid w:val="00CA1DCA"/>
    <w:rsid w:val="00CA27DC"/>
    <w:rsid w:val="00CA3B7C"/>
    <w:rsid w:val="00CA3B97"/>
    <w:rsid w:val="00CA3DA5"/>
    <w:rsid w:val="00CA4345"/>
    <w:rsid w:val="00CA5002"/>
    <w:rsid w:val="00CA562C"/>
    <w:rsid w:val="00CA65ED"/>
    <w:rsid w:val="00CA6902"/>
    <w:rsid w:val="00CA6CA8"/>
    <w:rsid w:val="00CA7C7A"/>
    <w:rsid w:val="00CB0761"/>
    <w:rsid w:val="00CB090F"/>
    <w:rsid w:val="00CB0A2E"/>
    <w:rsid w:val="00CB1A7C"/>
    <w:rsid w:val="00CB2675"/>
    <w:rsid w:val="00CB3030"/>
    <w:rsid w:val="00CB4F6D"/>
    <w:rsid w:val="00CB5729"/>
    <w:rsid w:val="00CB6792"/>
    <w:rsid w:val="00CB68A1"/>
    <w:rsid w:val="00CB6C6A"/>
    <w:rsid w:val="00CC03F9"/>
    <w:rsid w:val="00CC0726"/>
    <w:rsid w:val="00CC1098"/>
    <w:rsid w:val="00CC2184"/>
    <w:rsid w:val="00CC218D"/>
    <w:rsid w:val="00CC27A5"/>
    <w:rsid w:val="00CC3096"/>
    <w:rsid w:val="00CC478A"/>
    <w:rsid w:val="00CC5B9D"/>
    <w:rsid w:val="00CC73AF"/>
    <w:rsid w:val="00CC7E02"/>
    <w:rsid w:val="00CD00B2"/>
    <w:rsid w:val="00CD080F"/>
    <w:rsid w:val="00CD1265"/>
    <w:rsid w:val="00CD27C1"/>
    <w:rsid w:val="00CD3EB7"/>
    <w:rsid w:val="00CD4264"/>
    <w:rsid w:val="00CD4545"/>
    <w:rsid w:val="00CD4763"/>
    <w:rsid w:val="00CD47D1"/>
    <w:rsid w:val="00CD4E15"/>
    <w:rsid w:val="00CD522C"/>
    <w:rsid w:val="00CD5D71"/>
    <w:rsid w:val="00CD5ED3"/>
    <w:rsid w:val="00CD6173"/>
    <w:rsid w:val="00CD6443"/>
    <w:rsid w:val="00CD681F"/>
    <w:rsid w:val="00CD6CB6"/>
    <w:rsid w:val="00CD7406"/>
    <w:rsid w:val="00CD793D"/>
    <w:rsid w:val="00CE08EC"/>
    <w:rsid w:val="00CE47D1"/>
    <w:rsid w:val="00CE4B5B"/>
    <w:rsid w:val="00CE5F6A"/>
    <w:rsid w:val="00CE62FB"/>
    <w:rsid w:val="00CE6A4F"/>
    <w:rsid w:val="00CF0B1B"/>
    <w:rsid w:val="00CF213D"/>
    <w:rsid w:val="00CF3ABB"/>
    <w:rsid w:val="00CF3C77"/>
    <w:rsid w:val="00CF4024"/>
    <w:rsid w:val="00CF480E"/>
    <w:rsid w:val="00CF54A2"/>
    <w:rsid w:val="00CF5767"/>
    <w:rsid w:val="00CF5811"/>
    <w:rsid w:val="00CF5AA7"/>
    <w:rsid w:val="00CF5D53"/>
    <w:rsid w:val="00CF6273"/>
    <w:rsid w:val="00CF6F32"/>
    <w:rsid w:val="00CF7E0E"/>
    <w:rsid w:val="00D0075F"/>
    <w:rsid w:val="00D00E26"/>
    <w:rsid w:val="00D01635"/>
    <w:rsid w:val="00D01A76"/>
    <w:rsid w:val="00D01E72"/>
    <w:rsid w:val="00D0209F"/>
    <w:rsid w:val="00D025CB"/>
    <w:rsid w:val="00D02EC0"/>
    <w:rsid w:val="00D0446B"/>
    <w:rsid w:val="00D0479E"/>
    <w:rsid w:val="00D04952"/>
    <w:rsid w:val="00D05FF8"/>
    <w:rsid w:val="00D06C9E"/>
    <w:rsid w:val="00D07618"/>
    <w:rsid w:val="00D07B23"/>
    <w:rsid w:val="00D10FDE"/>
    <w:rsid w:val="00D119B0"/>
    <w:rsid w:val="00D12D0B"/>
    <w:rsid w:val="00D1480B"/>
    <w:rsid w:val="00D1574C"/>
    <w:rsid w:val="00D15DCE"/>
    <w:rsid w:val="00D15EA9"/>
    <w:rsid w:val="00D168D0"/>
    <w:rsid w:val="00D17077"/>
    <w:rsid w:val="00D17E38"/>
    <w:rsid w:val="00D20B38"/>
    <w:rsid w:val="00D20D0A"/>
    <w:rsid w:val="00D22DDC"/>
    <w:rsid w:val="00D230DF"/>
    <w:rsid w:val="00D231AB"/>
    <w:rsid w:val="00D23205"/>
    <w:rsid w:val="00D2336D"/>
    <w:rsid w:val="00D23DBB"/>
    <w:rsid w:val="00D2402D"/>
    <w:rsid w:val="00D24F93"/>
    <w:rsid w:val="00D25B5D"/>
    <w:rsid w:val="00D273F1"/>
    <w:rsid w:val="00D2763D"/>
    <w:rsid w:val="00D27E4C"/>
    <w:rsid w:val="00D27F6B"/>
    <w:rsid w:val="00D3049C"/>
    <w:rsid w:val="00D31C67"/>
    <w:rsid w:val="00D32901"/>
    <w:rsid w:val="00D32953"/>
    <w:rsid w:val="00D32B3C"/>
    <w:rsid w:val="00D331CD"/>
    <w:rsid w:val="00D33337"/>
    <w:rsid w:val="00D334CA"/>
    <w:rsid w:val="00D33D7F"/>
    <w:rsid w:val="00D33EE5"/>
    <w:rsid w:val="00D3480B"/>
    <w:rsid w:val="00D34C03"/>
    <w:rsid w:val="00D3550A"/>
    <w:rsid w:val="00D3590A"/>
    <w:rsid w:val="00D35BFC"/>
    <w:rsid w:val="00D3618E"/>
    <w:rsid w:val="00D36F83"/>
    <w:rsid w:val="00D375B5"/>
    <w:rsid w:val="00D37E36"/>
    <w:rsid w:val="00D402CA"/>
    <w:rsid w:val="00D43584"/>
    <w:rsid w:val="00D43CA2"/>
    <w:rsid w:val="00D44CB2"/>
    <w:rsid w:val="00D44E01"/>
    <w:rsid w:val="00D45299"/>
    <w:rsid w:val="00D46775"/>
    <w:rsid w:val="00D4792A"/>
    <w:rsid w:val="00D47948"/>
    <w:rsid w:val="00D47B99"/>
    <w:rsid w:val="00D47D09"/>
    <w:rsid w:val="00D47DFC"/>
    <w:rsid w:val="00D47FC9"/>
    <w:rsid w:val="00D5014A"/>
    <w:rsid w:val="00D5041A"/>
    <w:rsid w:val="00D50817"/>
    <w:rsid w:val="00D5113A"/>
    <w:rsid w:val="00D51BE4"/>
    <w:rsid w:val="00D52BB5"/>
    <w:rsid w:val="00D5306C"/>
    <w:rsid w:val="00D53939"/>
    <w:rsid w:val="00D54563"/>
    <w:rsid w:val="00D545E7"/>
    <w:rsid w:val="00D54C30"/>
    <w:rsid w:val="00D5598B"/>
    <w:rsid w:val="00D559EC"/>
    <w:rsid w:val="00D56362"/>
    <w:rsid w:val="00D565BA"/>
    <w:rsid w:val="00D568BE"/>
    <w:rsid w:val="00D57DA3"/>
    <w:rsid w:val="00D603F0"/>
    <w:rsid w:val="00D6040D"/>
    <w:rsid w:val="00D60532"/>
    <w:rsid w:val="00D618BC"/>
    <w:rsid w:val="00D6338C"/>
    <w:rsid w:val="00D639F4"/>
    <w:rsid w:val="00D63CE1"/>
    <w:rsid w:val="00D66DBF"/>
    <w:rsid w:val="00D67951"/>
    <w:rsid w:val="00D70F19"/>
    <w:rsid w:val="00D712D0"/>
    <w:rsid w:val="00D7154F"/>
    <w:rsid w:val="00D71A8F"/>
    <w:rsid w:val="00D722B7"/>
    <w:rsid w:val="00D73992"/>
    <w:rsid w:val="00D74C75"/>
    <w:rsid w:val="00D7585D"/>
    <w:rsid w:val="00D76214"/>
    <w:rsid w:val="00D76C48"/>
    <w:rsid w:val="00D76EF9"/>
    <w:rsid w:val="00D77291"/>
    <w:rsid w:val="00D77A24"/>
    <w:rsid w:val="00D77ACC"/>
    <w:rsid w:val="00D80691"/>
    <w:rsid w:val="00D80978"/>
    <w:rsid w:val="00D817FC"/>
    <w:rsid w:val="00D818DF"/>
    <w:rsid w:val="00D81B54"/>
    <w:rsid w:val="00D83754"/>
    <w:rsid w:val="00D83979"/>
    <w:rsid w:val="00D83BD1"/>
    <w:rsid w:val="00D843E0"/>
    <w:rsid w:val="00D84D17"/>
    <w:rsid w:val="00D8544D"/>
    <w:rsid w:val="00D85F3E"/>
    <w:rsid w:val="00D86545"/>
    <w:rsid w:val="00D86C9E"/>
    <w:rsid w:val="00D87931"/>
    <w:rsid w:val="00D87B48"/>
    <w:rsid w:val="00D9139F"/>
    <w:rsid w:val="00D915DF"/>
    <w:rsid w:val="00D92AFC"/>
    <w:rsid w:val="00D92F97"/>
    <w:rsid w:val="00D933F5"/>
    <w:rsid w:val="00D93719"/>
    <w:rsid w:val="00D9479D"/>
    <w:rsid w:val="00D94949"/>
    <w:rsid w:val="00D949F2"/>
    <w:rsid w:val="00D94A2C"/>
    <w:rsid w:val="00D96636"/>
    <w:rsid w:val="00D96CE2"/>
    <w:rsid w:val="00D96E43"/>
    <w:rsid w:val="00DA00A9"/>
    <w:rsid w:val="00DA1D50"/>
    <w:rsid w:val="00DA25A2"/>
    <w:rsid w:val="00DA2D8B"/>
    <w:rsid w:val="00DA3645"/>
    <w:rsid w:val="00DA3B2E"/>
    <w:rsid w:val="00DA3BAE"/>
    <w:rsid w:val="00DA3C98"/>
    <w:rsid w:val="00DA3D5B"/>
    <w:rsid w:val="00DA40CA"/>
    <w:rsid w:val="00DA4B04"/>
    <w:rsid w:val="00DA55BB"/>
    <w:rsid w:val="00DA59D1"/>
    <w:rsid w:val="00DA5BE2"/>
    <w:rsid w:val="00DA712F"/>
    <w:rsid w:val="00DA7F5A"/>
    <w:rsid w:val="00DB085A"/>
    <w:rsid w:val="00DB0CFC"/>
    <w:rsid w:val="00DB0D2E"/>
    <w:rsid w:val="00DB2173"/>
    <w:rsid w:val="00DB2AA0"/>
    <w:rsid w:val="00DB2D0C"/>
    <w:rsid w:val="00DB3614"/>
    <w:rsid w:val="00DB4570"/>
    <w:rsid w:val="00DB46ED"/>
    <w:rsid w:val="00DB4943"/>
    <w:rsid w:val="00DB4B5D"/>
    <w:rsid w:val="00DB4DFB"/>
    <w:rsid w:val="00DB58AA"/>
    <w:rsid w:val="00DB65AD"/>
    <w:rsid w:val="00DB678D"/>
    <w:rsid w:val="00DB6E9F"/>
    <w:rsid w:val="00DB70F9"/>
    <w:rsid w:val="00DB7837"/>
    <w:rsid w:val="00DB7F36"/>
    <w:rsid w:val="00DC115F"/>
    <w:rsid w:val="00DC160E"/>
    <w:rsid w:val="00DC2792"/>
    <w:rsid w:val="00DC3236"/>
    <w:rsid w:val="00DC36DA"/>
    <w:rsid w:val="00DC370E"/>
    <w:rsid w:val="00DC3E68"/>
    <w:rsid w:val="00DC422E"/>
    <w:rsid w:val="00DC42D3"/>
    <w:rsid w:val="00DC4B27"/>
    <w:rsid w:val="00DC5571"/>
    <w:rsid w:val="00DC56BF"/>
    <w:rsid w:val="00DC5A70"/>
    <w:rsid w:val="00DC6189"/>
    <w:rsid w:val="00DC6692"/>
    <w:rsid w:val="00DC67E8"/>
    <w:rsid w:val="00DC6F11"/>
    <w:rsid w:val="00DC7611"/>
    <w:rsid w:val="00DD00AA"/>
    <w:rsid w:val="00DD02F8"/>
    <w:rsid w:val="00DD0B19"/>
    <w:rsid w:val="00DD0E5C"/>
    <w:rsid w:val="00DD20DF"/>
    <w:rsid w:val="00DD2458"/>
    <w:rsid w:val="00DD30E9"/>
    <w:rsid w:val="00DD3136"/>
    <w:rsid w:val="00DD41F6"/>
    <w:rsid w:val="00DD4624"/>
    <w:rsid w:val="00DD4852"/>
    <w:rsid w:val="00DD4BD7"/>
    <w:rsid w:val="00DD4BF8"/>
    <w:rsid w:val="00DD5F74"/>
    <w:rsid w:val="00DD644B"/>
    <w:rsid w:val="00DD652D"/>
    <w:rsid w:val="00DD6A08"/>
    <w:rsid w:val="00DD6AEA"/>
    <w:rsid w:val="00DD6C09"/>
    <w:rsid w:val="00DD7164"/>
    <w:rsid w:val="00DD7310"/>
    <w:rsid w:val="00DD7416"/>
    <w:rsid w:val="00DE0134"/>
    <w:rsid w:val="00DE0264"/>
    <w:rsid w:val="00DE13BB"/>
    <w:rsid w:val="00DE1E43"/>
    <w:rsid w:val="00DE226F"/>
    <w:rsid w:val="00DE263D"/>
    <w:rsid w:val="00DE2FE6"/>
    <w:rsid w:val="00DE34AD"/>
    <w:rsid w:val="00DE3697"/>
    <w:rsid w:val="00DE3E0E"/>
    <w:rsid w:val="00DE3FDC"/>
    <w:rsid w:val="00DE459D"/>
    <w:rsid w:val="00DE4A4C"/>
    <w:rsid w:val="00DE4D09"/>
    <w:rsid w:val="00DE4FBF"/>
    <w:rsid w:val="00DE60B1"/>
    <w:rsid w:val="00DE640F"/>
    <w:rsid w:val="00DE65F2"/>
    <w:rsid w:val="00DE6A17"/>
    <w:rsid w:val="00DE749E"/>
    <w:rsid w:val="00DE7DDE"/>
    <w:rsid w:val="00DF047D"/>
    <w:rsid w:val="00DF0CCE"/>
    <w:rsid w:val="00DF0ECD"/>
    <w:rsid w:val="00DF2271"/>
    <w:rsid w:val="00DF28DF"/>
    <w:rsid w:val="00DF32F3"/>
    <w:rsid w:val="00DF4196"/>
    <w:rsid w:val="00DF5FAC"/>
    <w:rsid w:val="00DF67DF"/>
    <w:rsid w:val="00DF6E69"/>
    <w:rsid w:val="00DF71B8"/>
    <w:rsid w:val="00DF7297"/>
    <w:rsid w:val="00DF7329"/>
    <w:rsid w:val="00DF75B5"/>
    <w:rsid w:val="00E0097A"/>
    <w:rsid w:val="00E00DB1"/>
    <w:rsid w:val="00E01BA0"/>
    <w:rsid w:val="00E03310"/>
    <w:rsid w:val="00E041B7"/>
    <w:rsid w:val="00E0478C"/>
    <w:rsid w:val="00E052C1"/>
    <w:rsid w:val="00E053D6"/>
    <w:rsid w:val="00E05DAD"/>
    <w:rsid w:val="00E05DB4"/>
    <w:rsid w:val="00E066C5"/>
    <w:rsid w:val="00E06784"/>
    <w:rsid w:val="00E07CD3"/>
    <w:rsid w:val="00E100CA"/>
    <w:rsid w:val="00E101AE"/>
    <w:rsid w:val="00E14A13"/>
    <w:rsid w:val="00E154C2"/>
    <w:rsid w:val="00E15805"/>
    <w:rsid w:val="00E16AC0"/>
    <w:rsid w:val="00E17BE2"/>
    <w:rsid w:val="00E17CB4"/>
    <w:rsid w:val="00E21E28"/>
    <w:rsid w:val="00E222D5"/>
    <w:rsid w:val="00E2278C"/>
    <w:rsid w:val="00E22AF8"/>
    <w:rsid w:val="00E22DE2"/>
    <w:rsid w:val="00E235A2"/>
    <w:rsid w:val="00E23D88"/>
    <w:rsid w:val="00E23FCB"/>
    <w:rsid w:val="00E26698"/>
    <w:rsid w:val="00E269CE"/>
    <w:rsid w:val="00E26F7A"/>
    <w:rsid w:val="00E27A30"/>
    <w:rsid w:val="00E27EE7"/>
    <w:rsid w:val="00E30B08"/>
    <w:rsid w:val="00E3171D"/>
    <w:rsid w:val="00E317AD"/>
    <w:rsid w:val="00E3275E"/>
    <w:rsid w:val="00E32971"/>
    <w:rsid w:val="00E32E54"/>
    <w:rsid w:val="00E3307C"/>
    <w:rsid w:val="00E3346E"/>
    <w:rsid w:val="00E34592"/>
    <w:rsid w:val="00E345AD"/>
    <w:rsid w:val="00E35775"/>
    <w:rsid w:val="00E3645C"/>
    <w:rsid w:val="00E378B0"/>
    <w:rsid w:val="00E37A85"/>
    <w:rsid w:val="00E37D24"/>
    <w:rsid w:val="00E4057F"/>
    <w:rsid w:val="00E4299F"/>
    <w:rsid w:val="00E432BA"/>
    <w:rsid w:val="00E441F6"/>
    <w:rsid w:val="00E45596"/>
    <w:rsid w:val="00E459BA"/>
    <w:rsid w:val="00E45F2F"/>
    <w:rsid w:val="00E461DA"/>
    <w:rsid w:val="00E46318"/>
    <w:rsid w:val="00E4656E"/>
    <w:rsid w:val="00E46EA7"/>
    <w:rsid w:val="00E47329"/>
    <w:rsid w:val="00E504DB"/>
    <w:rsid w:val="00E50D3E"/>
    <w:rsid w:val="00E51972"/>
    <w:rsid w:val="00E52379"/>
    <w:rsid w:val="00E52536"/>
    <w:rsid w:val="00E52D45"/>
    <w:rsid w:val="00E53010"/>
    <w:rsid w:val="00E533A8"/>
    <w:rsid w:val="00E54FD2"/>
    <w:rsid w:val="00E55210"/>
    <w:rsid w:val="00E556A4"/>
    <w:rsid w:val="00E55FA7"/>
    <w:rsid w:val="00E56BD1"/>
    <w:rsid w:val="00E57283"/>
    <w:rsid w:val="00E573EC"/>
    <w:rsid w:val="00E61DB5"/>
    <w:rsid w:val="00E6245E"/>
    <w:rsid w:val="00E627F4"/>
    <w:rsid w:val="00E62B2F"/>
    <w:rsid w:val="00E62FE0"/>
    <w:rsid w:val="00E63567"/>
    <w:rsid w:val="00E637B3"/>
    <w:rsid w:val="00E63AA7"/>
    <w:rsid w:val="00E655CB"/>
    <w:rsid w:val="00E67042"/>
    <w:rsid w:val="00E677CB"/>
    <w:rsid w:val="00E71C62"/>
    <w:rsid w:val="00E722E3"/>
    <w:rsid w:val="00E72499"/>
    <w:rsid w:val="00E72B2E"/>
    <w:rsid w:val="00E72C77"/>
    <w:rsid w:val="00E742A0"/>
    <w:rsid w:val="00E742EF"/>
    <w:rsid w:val="00E7463B"/>
    <w:rsid w:val="00E74801"/>
    <w:rsid w:val="00E75927"/>
    <w:rsid w:val="00E759E7"/>
    <w:rsid w:val="00E81003"/>
    <w:rsid w:val="00E81044"/>
    <w:rsid w:val="00E81507"/>
    <w:rsid w:val="00E81525"/>
    <w:rsid w:val="00E81D64"/>
    <w:rsid w:val="00E8239C"/>
    <w:rsid w:val="00E82492"/>
    <w:rsid w:val="00E84A2E"/>
    <w:rsid w:val="00E8517C"/>
    <w:rsid w:val="00E87A6E"/>
    <w:rsid w:val="00E90A87"/>
    <w:rsid w:val="00E9151A"/>
    <w:rsid w:val="00E93511"/>
    <w:rsid w:val="00E93D7C"/>
    <w:rsid w:val="00E9534A"/>
    <w:rsid w:val="00E95518"/>
    <w:rsid w:val="00E956C2"/>
    <w:rsid w:val="00E96789"/>
    <w:rsid w:val="00E96E98"/>
    <w:rsid w:val="00E96ECD"/>
    <w:rsid w:val="00E9704B"/>
    <w:rsid w:val="00E97220"/>
    <w:rsid w:val="00EA0D88"/>
    <w:rsid w:val="00EA1423"/>
    <w:rsid w:val="00EA1F17"/>
    <w:rsid w:val="00EA250F"/>
    <w:rsid w:val="00EA374F"/>
    <w:rsid w:val="00EA4718"/>
    <w:rsid w:val="00EA5472"/>
    <w:rsid w:val="00EA5AE2"/>
    <w:rsid w:val="00EA622C"/>
    <w:rsid w:val="00EA7835"/>
    <w:rsid w:val="00EB0646"/>
    <w:rsid w:val="00EB1031"/>
    <w:rsid w:val="00EB1724"/>
    <w:rsid w:val="00EB2545"/>
    <w:rsid w:val="00EB256D"/>
    <w:rsid w:val="00EB316C"/>
    <w:rsid w:val="00EB3B6F"/>
    <w:rsid w:val="00EB434C"/>
    <w:rsid w:val="00EB47FD"/>
    <w:rsid w:val="00EB4808"/>
    <w:rsid w:val="00EB508C"/>
    <w:rsid w:val="00EB54DE"/>
    <w:rsid w:val="00EB5EC4"/>
    <w:rsid w:val="00EB6C8E"/>
    <w:rsid w:val="00EB73DF"/>
    <w:rsid w:val="00EC0C07"/>
    <w:rsid w:val="00EC0FCD"/>
    <w:rsid w:val="00EC10D2"/>
    <w:rsid w:val="00EC2401"/>
    <w:rsid w:val="00EC2821"/>
    <w:rsid w:val="00EC2AE0"/>
    <w:rsid w:val="00EC3EB2"/>
    <w:rsid w:val="00EC4500"/>
    <w:rsid w:val="00EC4786"/>
    <w:rsid w:val="00EC5963"/>
    <w:rsid w:val="00EC5D76"/>
    <w:rsid w:val="00EC63E9"/>
    <w:rsid w:val="00EC7131"/>
    <w:rsid w:val="00EC73F7"/>
    <w:rsid w:val="00ED0778"/>
    <w:rsid w:val="00ED1496"/>
    <w:rsid w:val="00ED189A"/>
    <w:rsid w:val="00ED22AB"/>
    <w:rsid w:val="00ED2FCA"/>
    <w:rsid w:val="00ED3280"/>
    <w:rsid w:val="00ED3477"/>
    <w:rsid w:val="00ED5229"/>
    <w:rsid w:val="00ED6ABF"/>
    <w:rsid w:val="00ED6B71"/>
    <w:rsid w:val="00ED7225"/>
    <w:rsid w:val="00ED7EF1"/>
    <w:rsid w:val="00EE01A8"/>
    <w:rsid w:val="00EE11CB"/>
    <w:rsid w:val="00EE2757"/>
    <w:rsid w:val="00EE2AD4"/>
    <w:rsid w:val="00EE398E"/>
    <w:rsid w:val="00EE4ABD"/>
    <w:rsid w:val="00EF0947"/>
    <w:rsid w:val="00EF0DC1"/>
    <w:rsid w:val="00EF1E11"/>
    <w:rsid w:val="00EF26EB"/>
    <w:rsid w:val="00EF40E5"/>
    <w:rsid w:val="00EF44AD"/>
    <w:rsid w:val="00EF5EC5"/>
    <w:rsid w:val="00EF64B2"/>
    <w:rsid w:val="00EF6AED"/>
    <w:rsid w:val="00EF6BB9"/>
    <w:rsid w:val="00EF6D8F"/>
    <w:rsid w:val="00EF771D"/>
    <w:rsid w:val="00EF7CE8"/>
    <w:rsid w:val="00F01930"/>
    <w:rsid w:val="00F01D0E"/>
    <w:rsid w:val="00F01DF8"/>
    <w:rsid w:val="00F02413"/>
    <w:rsid w:val="00F02D71"/>
    <w:rsid w:val="00F034EA"/>
    <w:rsid w:val="00F03E67"/>
    <w:rsid w:val="00F0509E"/>
    <w:rsid w:val="00F0586C"/>
    <w:rsid w:val="00F05E03"/>
    <w:rsid w:val="00F06275"/>
    <w:rsid w:val="00F06761"/>
    <w:rsid w:val="00F06F65"/>
    <w:rsid w:val="00F10397"/>
    <w:rsid w:val="00F10420"/>
    <w:rsid w:val="00F10892"/>
    <w:rsid w:val="00F10E59"/>
    <w:rsid w:val="00F11438"/>
    <w:rsid w:val="00F118D1"/>
    <w:rsid w:val="00F12A0F"/>
    <w:rsid w:val="00F12B04"/>
    <w:rsid w:val="00F13661"/>
    <w:rsid w:val="00F138FB"/>
    <w:rsid w:val="00F141EC"/>
    <w:rsid w:val="00F14699"/>
    <w:rsid w:val="00F14C40"/>
    <w:rsid w:val="00F14D29"/>
    <w:rsid w:val="00F15CD3"/>
    <w:rsid w:val="00F16CF5"/>
    <w:rsid w:val="00F171D5"/>
    <w:rsid w:val="00F17498"/>
    <w:rsid w:val="00F20243"/>
    <w:rsid w:val="00F207D7"/>
    <w:rsid w:val="00F21B1D"/>
    <w:rsid w:val="00F2262D"/>
    <w:rsid w:val="00F22636"/>
    <w:rsid w:val="00F22893"/>
    <w:rsid w:val="00F23234"/>
    <w:rsid w:val="00F24226"/>
    <w:rsid w:val="00F24528"/>
    <w:rsid w:val="00F251AE"/>
    <w:rsid w:val="00F25956"/>
    <w:rsid w:val="00F25DE6"/>
    <w:rsid w:val="00F26CFE"/>
    <w:rsid w:val="00F2770F"/>
    <w:rsid w:val="00F30C0E"/>
    <w:rsid w:val="00F32115"/>
    <w:rsid w:val="00F32E5B"/>
    <w:rsid w:val="00F33BA7"/>
    <w:rsid w:val="00F34444"/>
    <w:rsid w:val="00F34505"/>
    <w:rsid w:val="00F35EF7"/>
    <w:rsid w:val="00F369B2"/>
    <w:rsid w:val="00F36C9E"/>
    <w:rsid w:val="00F3723D"/>
    <w:rsid w:val="00F3757B"/>
    <w:rsid w:val="00F376B9"/>
    <w:rsid w:val="00F37F06"/>
    <w:rsid w:val="00F40C77"/>
    <w:rsid w:val="00F40FD4"/>
    <w:rsid w:val="00F41DC0"/>
    <w:rsid w:val="00F41FCC"/>
    <w:rsid w:val="00F42234"/>
    <w:rsid w:val="00F423A1"/>
    <w:rsid w:val="00F42541"/>
    <w:rsid w:val="00F4379F"/>
    <w:rsid w:val="00F44873"/>
    <w:rsid w:val="00F453DC"/>
    <w:rsid w:val="00F45610"/>
    <w:rsid w:val="00F45A4B"/>
    <w:rsid w:val="00F45CFF"/>
    <w:rsid w:val="00F46AC0"/>
    <w:rsid w:val="00F49FC9"/>
    <w:rsid w:val="00F50C77"/>
    <w:rsid w:val="00F50D2C"/>
    <w:rsid w:val="00F51608"/>
    <w:rsid w:val="00F51ABC"/>
    <w:rsid w:val="00F52B1F"/>
    <w:rsid w:val="00F53830"/>
    <w:rsid w:val="00F53907"/>
    <w:rsid w:val="00F54537"/>
    <w:rsid w:val="00F54D13"/>
    <w:rsid w:val="00F56692"/>
    <w:rsid w:val="00F566D7"/>
    <w:rsid w:val="00F568A1"/>
    <w:rsid w:val="00F5702A"/>
    <w:rsid w:val="00F57B23"/>
    <w:rsid w:val="00F60EF4"/>
    <w:rsid w:val="00F61A03"/>
    <w:rsid w:val="00F62497"/>
    <w:rsid w:val="00F62934"/>
    <w:rsid w:val="00F62CC2"/>
    <w:rsid w:val="00F631F7"/>
    <w:rsid w:val="00F6345B"/>
    <w:rsid w:val="00F63E62"/>
    <w:rsid w:val="00F64106"/>
    <w:rsid w:val="00F65105"/>
    <w:rsid w:val="00F656CE"/>
    <w:rsid w:val="00F665EA"/>
    <w:rsid w:val="00F735D3"/>
    <w:rsid w:val="00F74687"/>
    <w:rsid w:val="00F74F4C"/>
    <w:rsid w:val="00F7562B"/>
    <w:rsid w:val="00F75B88"/>
    <w:rsid w:val="00F75CAB"/>
    <w:rsid w:val="00F7681D"/>
    <w:rsid w:val="00F76E9B"/>
    <w:rsid w:val="00F76F01"/>
    <w:rsid w:val="00F77A8A"/>
    <w:rsid w:val="00F77C08"/>
    <w:rsid w:val="00F81A80"/>
    <w:rsid w:val="00F81F15"/>
    <w:rsid w:val="00F8250E"/>
    <w:rsid w:val="00F8265C"/>
    <w:rsid w:val="00F8353F"/>
    <w:rsid w:val="00F839F5"/>
    <w:rsid w:val="00F846FD"/>
    <w:rsid w:val="00F86591"/>
    <w:rsid w:val="00F86775"/>
    <w:rsid w:val="00F86ED5"/>
    <w:rsid w:val="00F8720C"/>
    <w:rsid w:val="00F878C5"/>
    <w:rsid w:val="00F87EA7"/>
    <w:rsid w:val="00F909E3"/>
    <w:rsid w:val="00F913C2"/>
    <w:rsid w:val="00F917D3"/>
    <w:rsid w:val="00F920D9"/>
    <w:rsid w:val="00F9226B"/>
    <w:rsid w:val="00F9297D"/>
    <w:rsid w:val="00F94580"/>
    <w:rsid w:val="00F94640"/>
    <w:rsid w:val="00F9484F"/>
    <w:rsid w:val="00F94B87"/>
    <w:rsid w:val="00F96458"/>
    <w:rsid w:val="00FA1171"/>
    <w:rsid w:val="00FA12CB"/>
    <w:rsid w:val="00FA1809"/>
    <w:rsid w:val="00FA20C7"/>
    <w:rsid w:val="00FA237B"/>
    <w:rsid w:val="00FA2527"/>
    <w:rsid w:val="00FA2E3B"/>
    <w:rsid w:val="00FA2E73"/>
    <w:rsid w:val="00FA3408"/>
    <w:rsid w:val="00FA35FD"/>
    <w:rsid w:val="00FA383D"/>
    <w:rsid w:val="00FA38BD"/>
    <w:rsid w:val="00FA56DD"/>
    <w:rsid w:val="00FA685E"/>
    <w:rsid w:val="00FA6C51"/>
    <w:rsid w:val="00FA6D96"/>
    <w:rsid w:val="00FB0642"/>
    <w:rsid w:val="00FB0A9D"/>
    <w:rsid w:val="00FB0E0C"/>
    <w:rsid w:val="00FB0ED4"/>
    <w:rsid w:val="00FB1F12"/>
    <w:rsid w:val="00FB23C9"/>
    <w:rsid w:val="00FB2E2A"/>
    <w:rsid w:val="00FB34F5"/>
    <w:rsid w:val="00FB38A3"/>
    <w:rsid w:val="00FB3B5C"/>
    <w:rsid w:val="00FB4D5B"/>
    <w:rsid w:val="00FB5BEF"/>
    <w:rsid w:val="00FB6F6C"/>
    <w:rsid w:val="00FB7ABC"/>
    <w:rsid w:val="00FB7D76"/>
    <w:rsid w:val="00FC0E10"/>
    <w:rsid w:val="00FC20A1"/>
    <w:rsid w:val="00FC3B4C"/>
    <w:rsid w:val="00FC48CD"/>
    <w:rsid w:val="00FC5670"/>
    <w:rsid w:val="00FC58F2"/>
    <w:rsid w:val="00FC6989"/>
    <w:rsid w:val="00FC6DCF"/>
    <w:rsid w:val="00FD06ED"/>
    <w:rsid w:val="00FD0C10"/>
    <w:rsid w:val="00FD0C60"/>
    <w:rsid w:val="00FD13EF"/>
    <w:rsid w:val="00FD1A7C"/>
    <w:rsid w:val="00FD1C4B"/>
    <w:rsid w:val="00FD232C"/>
    <w:rsid w:val="00FD2F79"/>
    <w:rsid w:val="00FD46A3"/>
    <w:rsid w:val="00FD593A"/>
    <w:rsid w:val="00FD6FCC"/>
    <w:rsid w:val="00FD7C85"/>
    <w:rsid w:val="00FE02AA"/>
    <w:rsid w:val="00FE06BE"/>
    <w:rsid w:val="00FE13DC"/>
    <w:rsid w:val="00FE15DC"/>
    <w:rsid w:val="00FE173D"/>
    <w:rsid w:val="00FE20EE"/>
    <w:rsid w:val="00FE20F9"/>
    <w:rsid w:val="00FE428B"/>
    <w:rsid w:val="00FE42DD"/>
    <w:rsid w:val="00FE4E89"/>
    <w:rsid w:val="00FE63DD"/>
    <w:rsid w:val="00FE6497"/>
    <w:rsid w:val="00FE6B30"/>
    <w:rsid w:val="00FE6B8E"/>
    <w:rsid w:val="00FE7320"/>
    <w:rsid w:val="00FE7409"/>
    <w:rsid w:val="00FE7C07"/>
    <w:rsid w:val="00FF134B"/>
    <w:rsid w:val="00FF33E1"/>
    <w:rsid w:val="00FF3FCD"/>
    <w:rsid w:val="00FF4AC6"/>
    <w:rsid w:val="00FF53E4"/>
    <w:rsid w:val="00FF5509"/>
    <w:rsid w:val="00FF6054"/>
    <w:rsid w:val="00FF63AC"/>
    <w:rsid w:val="00FF6D36"/>
    <w:rsid w:val="01099511"/>
    <w:rsid w:val="0128236D"/>
    <w:rsid w:val="01473B80"/>
    <w:rsid w:val="0176413F"/>
    <w:rsid w:val="01E88555"/>
    <w:rsid w:val="020C89CF"/>
    <w:rsid w:val="02166901"/>
    <w:rsid w:val="025E7F5D"/>
    <w:rsid w:val="0280C57D"/>
    <w:rsid w:val="028E7220"/>
    <w:rsid w:val="0298F564"/>
    <w:rsid w:val="02A7E81F"/>
    <w:rsid w:val="02B3A480"/>
    <w:rsid w:val="02CC6571"/>
    <w:rsid w:val="02ED6DD6"/>
    <w:rsid w:val="02EFE258"/>
    <w:rsid w:val="030C23AD"/>
    <w:rsid w:val="0327D9F8"/>
    <w:rsid w:val="0352CBB4"/>
    <w:rsid w:val="0354F8E5"/>
    <w:rsid w:val="0377FD38"/>
    <w:rsid w:val="043392DA"/>
    <w:rsid w:val="044277E0"/>
    <w:rsid w:val="04536B76"/>
    <w:rsid w:val="0457B805"/>
    <w:rsid w:val="04EF44A9"/>
    <w:rsid w:val="053BB7C8"/>
    <w:rsid w:val="0544ACA2"/>
    <w:rsid w:val="059E0B02"/>
    <w:rsid w:val="05A91ADC"/>
    <w:rsid w:val="05AC7F6B"/>
    <w:rsid w:val="05B4242E"/>
    <w:rsid w:val="05EFBDB1"/>
    <w:rsid w:val="05FD84F9"/>
    <w:rsid w:val="0627A406"/>
    <w:rsid w:val="06827FF7"/>
    <w:rsid w:val="06BEACB8"/>
    <w:rsid w:val="0774F966"/>
    <w:rsid w:val="078D54FF"/>
    <w:rsid w:val="080757F4"/>
    <w:rsid w:val="08BCF9AB"/>
    <w:rsid w:val="08D6DEA4"/>
    <w:rsid w:val="08EE40F0"/>
    <w:rsid w:val="08FC813D"/>
    <w:rsid w:val="090D7843"/>
    <w:rsid w:val="091B51FA"/>
    <w:rsid w:val="09A48031"/>
    <w:rsid w:val="0A7500FE"/>
    <w:rsid w:val="0A961B31"/>
    <w:rsid w:val="0AEF1F23"/>
    <w:rsid w:val="0B07FDCB"/>
    <w:rsid w:val="0B12F71B"/>
    <w:rsid w:val="0B161622"/>
    <w:rsid w:val="0B2264FA"/>
    <w:rsid w:val="0C22C1FA"/>
    <w:rsid w:val="0C25D439"/>
    <w:rsid w:val="0C299837"/>
    <w:rsid w:val="0C47E4E3"/>
    <w:rsid w:val="0C738BEE"/>
    <w:rsid w:val="0D0902C0"/>
    <w:rsid w:val="0D19BD47"/>
    <w:rsid w:val="0D5EE542"/>
    <w:rsid w:val="0DA6C5D4"/>
    <w:rsid w:val="0DDC7115"/>
    <w:rsid w:val="0E0963D6"/>
    <w:rsid w:val="0E3723DD"/>
    <w:rsid w:val="0E7F6DDE"/>
    <w:rsid w:val="0EB18C35"/>
    <w:rsid w:val="0F64F2ED"/>
    <w:rsid w:val="0F79E4F0"/>
    <w:rsid w:val="1033D121"/>
    <w:rsid w:val="10393254"/>
    <w:rsid w:val="103DF11F"/>
    <w:rsid w:val="10C7BD7E"/>
    <w:rsid w:val="1196809A"/>
    <w:rsid w:val="11B2EADA"/>
    <w:rsid w:val="11D0B1C6"/>
    <w:rsid w:val="127B0C97"/>
    <w:rsid w:val="130911F2"/>
    <w:rsid w:val="130FA14D"/>
    <w:rsid w:val="137872B1"/>
    <w:rsid w:val="137EF5E3"/>
    <w:rsid w:val="13902517"/>
    <w:rsid w:val="13BBBE8A"/>
    <w:rsid w:val="1443B418"/>
    <w:rsid w:val="14C14FD7"/>
    <w:rsid w:val="14E22AB5"/>
    <w:rsid w:val="14E39F04"/>
    <w:rsid w:val="14F7A303"/>
    <w:rsid w:val="150288DD"/>
    <w:rsid w:val="153DFC78"/>
    <w:rsid w:val="157606CD"/>
    <w:rsid w:val="15D80177"/>
    <w:rsid w:val="1616EA5B"/>
    <w:rsid w:val="161C01BB"/>
    <w:rsid w:val="1639BC29"/>
    <w:rsid w:val="163B0930"/>
    <w:rsid w:val="1684AA37"/>
    <w:rsid w:val="168FA9EC"/>
    <w:rsid w:val="16BA3035"/>
    <w:rsid w:val="16C3245E"/>
    <w:rsid w:val="17BB67E6"/>
    <w:rsid w:val="18393DF2"/>
    <w:rsid w:val="18D6D3DD"/>
    <w:rsid w:val="18D7C970"/>
    <w:rsid w:val="18EDCA23"/>
    <w:rsid w:val="19BE6F41"/>
    <w:rsid w:val="1A130ED2"/>
    <w:rsid w:val="1A521415"/>
    <w:rsid w:val="1AD6B53B"/>
    <w:rsid w:val="1AEAB428"/>
    <w:rsid w:val="1B42BC47"/>
    <w:rsid w:val="1B4AC1FD"/>
    <w:rsid w:val="1B91EEA1"/>
    <w:rsid w:val="1BA18A96"/>
    <w:rsid w:val="1DCF65F9"/>
    <w:rsid w:val="1DD8EF76"/>
    <w:rsid w:val="1DF55EE1"/>
    <w:rsid w:val="1E53981B"/>
    <w:rsid w:val="1E56C85E"/>
    <w:rsid w:val="1EB82FCD"/>
    <w:rsid w:val="1F643178"/>
    <w:rsid w:val="1F6773CF"/>
    <w:rsid w:val="1FCDF1F7"/>
    <w:rsid w:val="20032A42"/>
    <w:rsid w:val="20205FD2"/>
    <w:rsid w:val="20913F23"/>
    <w:rsid w:val="20EC2115"/>
    <w:rsid w:val="216A0CE1"/>
    <w:rsid w:val="218C6F76"/>
    <w:rsid w:val="21A3EB67"/>
    <w:rsid w:val="21F5F04E"/>
    <w:rsid w:val="2237355F"/>
    <w:rsid w:val="228C384C"/>
    <w:rsid w:val="22B8103A"/>
    <w:rsid w:val="22D0E26C"/>
    <w:rsid w:val="22F8D749"/>
    <w:rsid w:val="232D3FEB"/>
    <w:rsid w:val="2342BA75"/>
    <w:rsid w:val="2387A9C2"/>
    <w:rsid w:val="239DE39D"/>
    <w:rsid w:val="241F5909"/>
    <w:rsid w:val="244AE2BD"/>
    <w:rsid w:val="2484B10B"/>
    <w:rsid w:val="24913BCB"/>
    <w:rsid w:val="24A0BAF8"/>
    <w:rsid w:val="24DEE117"/>
    <w:rsid w:val="2626772B"/>
    <w:rsid w:val="26E5293E"/>
    <w:rsid w:val="26E95363"/>
    <w:rsid w:val="26F4AE23"/>
    <w:rsid w:val="2700764D"/>
    <w:rsid w:val="27A0E118"/>
    <w:rsid w:val="27CCA709"/>
    <w:rsid w:val="27F727DF"/>
    <w:rsid w:val="28443093"/>
    <w:rsid w:val="285B4223"/>
    <w:rsid w:val="286EFC95"/>
    <w:rsid w:val="290B13BE"/>
    <w:rsid w:val="2927BBAB"/>
    <w:rsid w:val="2930A659"/>
    <w:rsid w:val="295F87C8"/>
    <w:rsid w:val="299F8735"/>
    <w:rsid w:val="29A44F64"/>
    <w:rsid w:val="29E1905D"/>
    <w:rsid w:val="2A3AE342"/>
    <w:rsid w:val="2AAF6758"/>
    <w:rsid w:val="2AC80359"/>
    <w:rsid w:val="2B26B6AC"/>
    <w:rsid w:val="2B36BB0E"/>
    <w:rsid w:val="2B7CD3A5"/>
    <w:rsid w:val="2B979625"/>
    <w:rsid w:val="2BB74097"/>
    <w:rsid w:val="2BE4912C"/>
    <w:rsid w:val="2C4DA943"/>
    <w:rsid w:val="2C5BDD60"/>
    <w:rsid w:val="2CABDA5F"/>
    <w:rsid w:val="2D495D5B"/>
    <w:rsid w:val="2D7E634A"/>
    <w:rsid w:val="2DCC4608"/>
    <w:rsid w:val="2DF2C7F2"/>
    <w:rsid w:val="2DF729C6"/>
    <w:rsid w:val="2DFBE30D"/>
    <w:rsid w:val="2E306100"/>
    <w:rsid w:val="2E51E21E"/>
    <w:rsid w:val="2EA72BA8"/>
    <w:rsid w:val="2EC3E769"/>
    <w:rsid w:val="2F1240B1"/>
    <w:rsid w:val="2FBE7734"/>
    <w:rsid w:val="2FC659C0"/>
    <w:rsid w:val="308F0813"/>
    <w:rsid w:val="316CB645"/>
    <w:rsid w:val="3178E2C4"/>
    <w:rsid w:val="31E37973"/>
    <w:rsid w:val="31E47B48"/>
    <w:rsid w:val="3208E256"/>
    <w:rsid w:val="3209377E"/>
    <w:rsid w:val="3295A0AE"/>
    <w:rsid w:val="3298CDA7"/>
    <w:rsid w:val="32E5682F"/>
    <w:rsid w:val="33038E78"/>
    <w:rsid w:val="3322599D"/>
    <w:rsid w:val="33590C61"/>
    <w:rsid w:val="337BF8BA"/>
    <w:rsid w:val="34473F93"/>
    <w:rsid w:val="34A2F833"/>
    <w:rsid w:val="34B5C8CC"/>
    <w:rsid w:val="354FB65B"/>
    <w:rsid w:val="3579FE02"/>
    <w:rsid w:val="35A5B608"/>
    <w:rsid w:val="35DE6D4F"/>
    <w:rsid w:val="35E04BE4"/>
    <w:rsid w:val="35F1CD09"/>
    <w:rsid w:val="3634AA70"/>
    <w:rsid w:val="3689CFF0"/>
    <w:rsid w:val="37195D8B"/>
    <w:rsid w:val="374406FC"/>
    <w:rsid w:val="37BA770F"/>
    <w:rsid w:val="37D0AFF4"/>
    <w:rsid w:val="3839C693"/>
    <w:rsid w:val="38A4A797"/>
    <w:rsid w:val="38D39DFA"/>
    <w:rsid w:val="38EF294B"/>
    <w:rsid w:val="394212AF"/>
    <w:rsid w:val="39FBD21E"/>
    <w:rsid w:val="3A36BCA8"/>
    <w:rsid w:val="3A3C427C"/>
    <w:rsid w:val="3A3F9A1D"/>
    <w:rsid w:val="3A4DB131"/>
    <w:rsid w:val="3A8CD222"/>
    <w:rsid w:val="3A9557B6"/>
    <w:rsid w:val="3ADB7630"/>
    <w:rsid w:val="3B435DE3"/>
    <w:rsid w:val="3B49D516"/>
    <w:rsid w:val="3B9BE989"/>
    <w:rsid w:val="3BD9E56E"/>
    <w:rsid w:val="3BF410C6"/>
    <w:rsid w:val="3C123DE3"/>
    <w:rsid w:val="3C3A7514"/>
    <w:rsid w:val="3C55188E"/>
    <w:rsid w:val="3C5579D0"/>
    <w:rsid w:val="3C6676D5"/>
    <w:rsid w:val="3C6F2774"/>
    <w:rsid w:val="3C80741D"/>
    <w:rsid w:val="3C8FF74B"/>
    <w:rsid w:val="3C9120CD"/>
    <w:rsid w:val="3CF09A15"/>
    <w:rsid w:val="3D7D3663"/>
    <w:rsid w:val="3DB60230"/>
    <w:rsid w:val="3DCD5022"/>
    <w:rsid w:val="3DDAA0C3"/>
    <w:rsid w:val="3E2735D3"/>
    <w:rsid w:val="3EB17270"/>
    <w:rsid w:val="3EB7930E"/>
    <w:rsid w:val="3EBE0185"/>
    <w:rsid w:val="3EF2D93C"/>
    <w:rsid w:val="3F18BC2F"/>
    <w:rsid w:val="3F4261FE"/>
    <w:rsid w:val="3F4FA5EC"/>
    <w:rsid w:val="3F543EB7"/>
    <w:rsid w:val="3F547F3A"/>
    <w:rsid w:val="3F704AC9"/>
    <w:rsid w:val="3F78503B"/>
    <w:rsid w:val="3FA4EDAD"/>
    <w:rsid w:val="3FAC35E0"/>
    <w:rsid w:val="3FD29CA6"/>
    <w:rsid w:val="401922F2"/>
    <w:rsid w:val="4034B3B3"/>
    <w:rsid w:val="40BA4B74"/>
    <w:rsid w:val="412D5929"/>
    <w:rsid w:val="4134C8DC"/>
    <w:rsid w:val="4176D4A2"/>
    <w:rsid w:val="41A63A70"/>
    <w:rsid w:val="41CB87AE"/>
    <w:rsid w:val="41F2D1A9"/>
    <w:rsid w:val="425386EC"/>
    <w:rsid w:val="42892599"/>
    <w:rsid w:val="429665E9"/>
    <w:rsid w:val="42AABD68"/>
    <w:rsid w:val="4309218A"/>
    <w:rsid w:val="4336477F"/>
    <w:rsid w:val="437E6120"/>
    <w:rsid w:val="4395FD6E"/>
    <w:rsid w:val="43B9CEAF"/>
    <w:rsid w:val="43C023BF"/>
    <w:rsid w:val="43F6E232"/>
    <w:rsid w:val="44214CAD"/>
    <w:rsid w:val="44497033"/>
    <w:rsid w:val="44A629A7"/>
    <w:rsid w:val="44F26791"/>
    <w:rsid w:val="4510B4D4"/>
    <w:rsid w:val="4519323D"/>
    <w:rsid w:val="4586F767"/>
    <w:rsid w:val="458D26DA"/>
    <w:rsid w:val="45C564A5"/>
    <w:rsid w:val="45F569ED"/>
    <w:rsid w:val="468A229C"/>
    <w:rsid w:val="46DC22A4"/>
    <w:rsid w:val="46FC6199"/>
    <w:rsid w:val="46FE6B3A"/>
    <w:rsid w:val="47161B4D"/>
    <w:rsid w:val="471F650C"/>
    <w:rsid w:val="47739A50"/>
    <w:rsid w:val="47745932"/>
    <w:rsid w:val="4775DC0D"/>
    <w:rsid w:val="47D77EF3"/>
    <w:rsid w:val="47DE980A"/>
    <w:rsid w:val="47E6FCA0"/>
    <w:rsid w:val="47EE6FCC"/>
    <w:rsid w:val="4866968A"/>
    <w:rsid w:val="4895E5D4"/>
    <w:rsid w:val="4934F5BE"/>
    <w:rsid w:val="4954E42A"/>
    <w:rsid w:val="498182E8"/>
    <w:rsid w:val="49861441"/>
    <w:rsid w:val="49870036"/>
    <w:rsid w:val="49B10385"/>
    <w:rsid w:val="4A0D2B21"/>
    <w:rsid w:val="4A169E37"/>
    <w:rsid w:val="4A3D55A8"/>
    <w:rsid w:val="4A451ADF"/>
    <w:rsid w:val="4A694B9B"/>
    <w:rsid w:val="4A78FC20"/>
    <w:rsid w:val="4ACD1E64"/>
    <w:rsid w:val="4AFFBAEB"/>
    <w:rsid w:val="4B72F03E"/>
    <w:rsid w:val="4BE0C2F4"/>
    <w:rsid w:val="4BE380D8"/>
    <w:rsid w:val="4C3346D1"/>
    <w:rsid w:val="4C7494A9"/>
    <w:rsid w:val="4C8BB93C"/>
    <w:rsid w:val="4CA2B90B"/>
    <w:rsid w:val="4CC91BD4"/>
    <w:rsid w:val="4CF1FF86"/>
    <w:rsid w:val="4D683AB8"/>
    <w:rsid w:val="4DDF58CB"/>
    <w:rsid w:val="4E3C04A3"/>
    <w:rsid w:val="4EA05F02"/>
    <w:rsid w:val="4EE0E824"/>
    <w:rsid w:val="4EE32B6C"/>
    <w:rsid w:val="4F0A4D94"/>
    <w:rsid w:val="4F158A8A"/>
    <w:rsid w:val="4F5FD55D"/>
    <w:rsid w:val="50334DCF"/>
    <w:rsid w:val="5060524A"/>
    <w:rsid w:val="512227EE"/>
    <w:rsid w:val="5145E762"/>
    <w:rsid w:val="51541C4C"/>
    <w:rsid w:val="517523B8"/>
    <w:rsid w:val="51B7433F"/>
    <w:rsid w:val="51C532D1"/>
    <w:rsid w:val="51C9340D"/>
    <w:rsid w:val="5200B0AE"/>
    <w:rsid w:val="524E8D7D"/>
    <w:rsid w:val="52C26E61"/>
    <w:rsid w:val="52FC8CCF"/>
    <w:rsid w:val="535AE068"/>
    <w:rsid w:val="5379624A"/>
    <w:rsid w:val="53E13DB2"/>
    <w:rsid w:val="542F35D3"/>
    <w:rsid w:val="54574DA9"/>
    <w:rsid w:val="54BB0057"/>
    <w:rsid w:val="54CF5DFC"/>
    <w:rsid w:val="54E14845"/>
    <w:rsid w:val="5583ABC5"/>
    <w:rsid w:val="558735B7"/>
    <w:rsid w:val="56ABEB54"/>
    <w:rsid w:val="56D5992E"/>
    <w:rsid w:val="571DC6CA"/>
    <w:rsid w:val="571FF95F"/>
    <w:rsid w:val="576D21E9"/>
    <w:rsid w:val="584F1519"/>
    <w:rsid w:val="58833E30"/>
    <w:rsid w:val="588ADBEC"/>
    <w:rsid w:val="58C791C1"/>
    <w:rsid w:val="594DB64F"/>
    <w:rsid w:val="59632E05"/>
    <w:rsid w:val="59B7BBB3"/>
    <w:rsid w:val="59DFAA62"/>
    <w:rsid w:val="5A210ADA"/>
    <w:rsid w:val="5A7456F6"/>
    <w:rsid w:val="5A7E2C8C"/>
    <w:rsid w:val="5B0D1CB1"/>
    <w:rsid w:val="5B2D4B2C"/>
    <w:rsid w:val="5B55D8B1"/>
    <w:rsid w:val="5BA4B4FB"/>
    <w:rsid w:val="5BDE9CBA"/>
    <w:rsid w:val="5BF39B91"/>
    <w:rsid w:val="5BF6773B"/>
    <w:rsid w:val="5C0E70F6"/>
    <w:rsid w:val="5C575720"/>
    <w:rsid w:val="5C90D204"/>
    <w:rsid w:val="5CA5AF99"/>
    <w:rsid w:val="5CB5C7C3"/>
    <w:rsid w:val="5D3BFE2A"/>
    <w:rsid w:val="5E0A2494"/>
    <w:rsid w:val="5E0CC1BB"/>
    <w:rsid w:val="5E5F789E"/>
    <w:rsid w:val="5EDF37BE"/>
    <w:rsid w:val="5EF85001"/>
    <w:rsid w:val="5F65AB6E"/>
    <w:rsid w:val="5F72DE36"/>
    <w:rsid w:val="5F85B46E"/>
    <w:rsid w:val="5FDBAC7B"/>
    <w:rsid w:val="5FE2AF35"/>
    <w:rsid w:val="6012CC48"/>
    <w:rsid w:val="60520520"/>
    <w:rsid w:val="6053430D"/>
    <w:rsid w:val="614CE022"/>
    <w:rsid w:val="62014E3E"/>
    <w:rsid w:val="6243C3DE"/>
    <w:rsid w:val="625DDFCA"/>
    <w:rsid w:val="626D74E7"/>
    <w:rsid w:val="628DA79F"/>
    <w:rsid w:val="63526B2C"/>
    <w:rsid w:val="636D2843"/>
    <w:rsid w:val="6385B25E"/>
    <w:rsid w:val="63E860C3"/>
    <w:rsid w:val="64135537"/>
    <w:rsid w:val="64403B86"/>
    <w:rsid w:val="6489ABFB"/>
    <w:rsid w:val="64AC3CBB"/>
    <w:rsid w:val="64BA1C2A"/>
    <w:rsid w:val="6533B68E"/>
    <w:rsid w:val="657B603B"/>
    <w:rsid w:val="665843CB"/>
    <w:rsid w:val="66691603"/>
    <w:rsid w:val="67B3A015"/>
    <w:rsid w:val="67CA1FA1"/>
    <w:rsid w:val="67F03809"/>
    <w:rsid w:val="67F4D105"/>
    <w:rsid w:val="685C39D5"/>
    <w:rsid w:val="68B3B6C2"/>
    <w:rsid w:val="68D73645"/>
    <w:rsid w:val="697F855D"/>
    <w:rsid w:val="6A439659"/>
    <w:rsid w:val="6A68D71C"/>
    <w:rsid w:val="6B3D0108"/>
    <w:rsid w:val="6B5182EC"/>
    <w:rsid w:val="6B74F9FB"/>
    <w:rsid w:val="6B8274A3"/>
    <w:rsid w:val="6B959A72"/>
    <w:rsid w:val="6BB06BB4"/>
    <w:rsid w:val="6C8A06C8"/>
    <w:rsid w:val="6C8F55A3"/>
    <w:rsid w:val="6C9A21AF"/>
    <w:rsid w:val="6CA69B1A"/>
    <w:rsid w:val="6CE7783C"/>
    <w:rsid w:val="6CE86B58"/>
    <w:rsid w:val="6CFD66C0"/>
    <w:rsid w:val="6D926511"/>
    <w:rsid w:val="6D9907C1"/>
    <w:rsid w:val="6DD7D5C5"/>
    <w:rsid w:val="6DDA6712"/>
    <w:rsid w:val="6E0BFBC4"/>
    <w:rsid w:val="6E2C6543"/>
    <w:rsid w:val="6E4D7DF4"/>
    <w:rsid w:val="6E745F4F"/>
    <w:rsid w:val="6ED5EEF5"/>
    <w:rsid w:val="6F1ABCFD"/>
    <w:rsid w:val="6F2B136A"/>
    <w:rsid w:val="6F52E7D8"/>
    <w:rsid w:val="6F69A238"/>
    <w:rsid w:val="701CF6BC"/>
    <w:rsid w:val="7065D1E5"/>
    <w:rsid w:val="70A017B7"/>
    <w:rsid w:val="70A6A744"/>
    <w:rsid w:val="71F1BF4B"/>
    <w:rsid w:val="72820C3F"/>
    <w:rsid w:val="7287B63F"/>
    <w:rsid w:val="72962390"/>
    <w:rsid w:val="72E1BC23"/>
    <w:rsid w:val="7353BD41"/>
    <w:rsid w:val="7382F507"/>
    <w:rsid w:val="746430C2"/>
    <w:rsid w:val="74869BB1"/>
    <w:rsid w:val="74D7C4DB"/>
    <w:rsid w:val="74F3F5B8"/>
    <w:rsid w:val="753796A6"/>
    <w:rsid w:val="754BEBCB"/>
    <w:rsid w:val="75C6076D"/>
    <w:rsid w:val="76128711"/>
    <w:rsid w:val="77052CFD"/>
    <w:rsid w:val="77433ACF"/>
    <w:rsid w:val="7756BC6B"/>
    <w:rsid w:val="776AE1CE"/>
    <w:rsid w:val="77AB0265"/>
    <w:rsid w:val="7823074C"/>
    <w:rsid w:val="78D7A670"/>
    <w:rsid w:val="792D9E3C"/>
    <w:rsid w:val="79501C0E"/>
    <w:rsid w:val="79757C3C"/>
    <w:rsid w:val="797D2337"/>
    <w:rsid w:val="79A11E12"/>
    <w:rsid w:val="79B199C2"/>
    <w:rsid w:val="7A298213"/>
    <w:rsid w:val="7A2DBBE0"/>
    <w:rsid w:val="7A4C070A"/>
    <w:rsid w:val="7A65FB99"/>
    <w:rsid w:val="7A871DB4"/>
    <w:rsid w:val="7A91F8B0"/>
    <w:rsid w:val="7AB31B6F"/>
    <w:rsid w:val="7ACF98E6"/>
    <w:rsid w:val="7ADD035F"/>
    <w:rsid w:val="7B88944B"/>
    <w:rsid w:val="7BABAFDB"/>
    <w:rsid w:val="7BD40DE5"/>
    <w:rsid w:val="7BEB8182"/>
    <w:rsid w:val="7C8AFCA6"/>
    <w:rsid w:val="7CA97222"/>
    <w:rsid w:val="7CC4313A"/>
    <w:rsid w:val="7D3DCA21"/>
    <w:rsid w:val="7D50DA38"/>
    <w:rsid w:val="7DAEC500"/>
    <w:rsid w:val="7DF4DBDB"/>
    <w:rsid w:val="7E96DB42"/>
    <w:rsid w:val="7EC508EB"/>
    <w:rsid w:val="7EC8899E"/>
    <w:rsid w:val="7EF35151"/>
    <w:rsid w:val="7F69FA2E"/>
    <w:rsid w:val="7FCC47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78F51"/>
  <w15:chartTrackingRefBased/>
  <w15:docId w15:val="{5A055459-777C-4F92-BF64-D5999843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82A"/>
    <w:pPr>
      <w:spacing w:line="276" w:lineRule="auto"/>
    </w:pPr>
    <w:rPr>
      <w:rFonts w:ascii="Arial" w:hAnsi="Arial" w:cs="Arial"/>
    </w:rPr>
  </w:style>
  <w:style w:type="paragraph" w:styleId="Heading1">
    <w:name w:val="heading 1"/>
    <w:basedOn w:val="Normal"/>
    <w:next w:val="Normal"/>
    <w:link w:val="Heading1Char"/>
    <w:uiPriority w:val="9"/>
    <w:qFormat/>
    <w:rsid w:val="008A667B"/>
    <w:pPr>
      <w:keepNext/>
      <w:keepLines/>
      <w:spacing w:before="240" w:after="240"/>
      <w:outlineLvl w:val="0"/>
    </w:pPr>
    <w:rPr>
      <w:rFonts w:eastAsiaTheme="majorEastAsia"/>
      <w:b/>
      <w:color w:val="2E74B5" w:themeColor="accent5" w:themeShade="BF"/>
    </w:rPr>
  </w:style>
  <w:style w:type="paragraph" w:styleId="Heading2">
    <w:name w:val="heading 2"/>
    <w:basedOn w:val="Style1"/>
    <w:next w:val="Normal"/>
    <w:link w:val="Heading2Char"/>
    <w:autoRedefine/>
    <w:uiPriority w:val="9"/>
    <w:unhideWhenUsed/>
    <w:qFormat/>
    <w:rsid w:val="00273760"/>
    <w:pPr>
      <w:jc w:val="center"/>
      <w:outlineLvl w:val="1"/>
    </w:pPr>
  </w:style>
  <w:style w:type="paragraph" w:styleId="Heading3">
    <w:name w:val="heading 3"/>
    <w:basedOn w:val="Normal"/>
    <w:next w:val="Normal"/>
    <w:link w:val="Heading3Char"/>
    <w:uiPriority w:val="9"/>
    <w:unhideWhenUsed/>
    <w:qFormat/>
    <w:rsid w:val="009F55CA"/>
    <w:pPr>
      <w:keepNext/>
      <w:keepLines/>
      <w:spacing w:before="40" w:after="240"/>
      <w:ind w:left="720"/>
      <w:outlineLvl w:val="2"/>
    </w:pPr>
    <w:rPr>
      <w:rFonts w:eastAsiaTheme="majorEastAsia"/>
      <w:b/>
      <w:color w:val="2E74B5" w:themeColor="accent5"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84"/>
    <w:rPr>
      <w:color w:val="0563C1" w:themeColor="hyperlink"/>
      <w:u w:val="single"/>
    </w:rPr>
  </w:style>
  <w:style w:type="paragraph" w:styleId="CommentText">
    <w:name w:val="annotation text"/>
    <w:basedOn w:val="Normal"/>
    <w:link w:val="CommentTextChar"/>
    <w:uiPriority w:val="99"/>
    <w:unhideWhenUsed/>
    <w:rsid w:val="002C3584"/>
    <w:pPr>
      <w:spacing w:line="240" w:lineRule="auto"/>
    </w:pPr>
    <w:rPr>
      <w:sz w:val="20"/>
      <w:szCs w:val="20"/>
    </w:rPr>
  </w:style>
  <w:style w:type="character" w:customStyle="1" w:styleId="CommentTextChar">
    <w:name w:val="Comment Text Char"/>
    <w:basedOn w:val="DefaultParagraphFont"/>
    <w:link w:val="CommentText"/>
    <w:uiPriority w:val="99"/>
    <w:rsid w:val="002C3584"/>
    <w:rPr>
      <w:sz w:val="20"/>
      <w:szCs w:val="20"/>
    </w:rPr>
  </w:style>
  <w:style w:type="paragraph" w:styleId="ListParagraph">
    <w:name w:val="List Paragraph"/>
    <w:basedOn w:val="Normal"/>
    <w:uiPriority w:val="34"/>
    <w:qFormat/>
    <w:rsid w:val="002C3584"/>
    <w:pPr>
      <w:ind w:left="720"/>
      <w:contextualSpacing/>
    </w:pPr>
  </w:style>
  <w:style w:type="character" w:styleId="CommentReference">
    <w:name w:val="annotation reference"/>
    <w:basedOn w:val="DefaultParagraphFont"/>
    <w:uiPriority w:val="99"/>
    <w:semiHidden/>
    <w:unhideWhenUsed/>
    <w:rsid w:val="002C3584"/>
    <w:rPr>
      <w:sz w:val="16"/>
      <w:szCs w:val="16"/>
    </w:rPr>
  </w:style>
  <w:style w:type="paragraph" w:styleId="BalloonText">
    <w:name w:val="Balloon Text"/>
    <w:basedOn w:val="Normal"/>
    <w:link w:val="BalloonTextChar"/>
    <w:uiPriority w:val="99"/>
    <w:semiHidden/>
    <w:unhideWhenUsed/>
    <w:rsid w:val="002C3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58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D6173"/>
    <w:rPr>
      <w:b/>
      <w:bCs/>
    </w:rPr>
  </w:style>
  <w:style w:type="character" w:customStyle="1" w:styleId="CommentSubjectChar">
    <w:name w:val="Comment Subject Char"/>
    <w:basedOn w:val="CommentTextChar"/>
    <w:link w:val="CommentSubject"/>
    <w:uiPriority w:val="99"/>
    <w:semiHidden/>
    <w:rsid w:val="00CD6173"/>
    <w:rPr>
      <w:b/>
      <w:bCs/>
      <w:sz w:val="20"/>
      <w:szCs w:val="20"/>
    </w:rPr>
  </w:style>
  <w:style w:type="paragraph" w:styleId="Header">
    <w:name w:val="header"/>
    <w:basedOn w:val="Normal"/>
    <w:link w:val="HeaderChar"/>
    <w:uiPriority w:val="99"/>
    <w:unhideWhenUsed/>
    <w:rsid w:val="00102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6B9"/>
  </w:style>
  <w:style w:type="paragraph" w:styleId="Footer">
    <w:name w:val="footer"/>
    <w:basedOn w:val="Normal"/>
    <w:link w:val="FooterChar"/>
    <w:uiPriority w:val="99"/>
    <w:unhideWhenUsed/>
    <w:rsid w:val="00102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6B9"/>
  </w:style>
  <w:style w:type="character" w:styleId="FollowedHyperlink">
    <w:name w:val="FollowedHyperlink"/>
    <w:basedOn w:val="DefaultParagraphFont"/>
    <w:uiPriority w:val="99"/>
    <w:semiHidden/>
    <w:unhideWhenUsed/>
    <w:rsid w:val="005A29AF"/>
    <w:rPr>
      <w:color w:val="954F72" w:themeColor="followedHyperlink"/>
      <w:u w:val="single"/>
    </w:rPr>
  </w:style>
  <w:style w:type="paragraph" w:styleId="Revision">
    <w:name w:val="Revision"/>
    <w:hidden/>
    <w:uiPriority w:val="99"/>
    <w:semiHidden/>
    <w:rsid w:val="00AD0D5B"/>
    <w:pPr>
      <w:spacing w:after="0" w:line="240" w:lineRule="auto"/>
    </w:pPr>
  </w:style>
  <w:style w:type="character" w:customStyle="1" w:styleId="Mention1">
    <w:name w:val="Mention1"/>
    <w:basedOn w:val="DefaultParagraphFont"/>
    <w:uiPriority w:val="99"/>
    <w:semiHidden/>
    <w:unhideWhenUsed/>
    <w:rsid w:val="00776FC2"/>
    <w:rPr>
      <w:color w:val="2B579A"/>
      <w:shd w:val="clear" w:color="auto" w:fill="E6E6E6"/>
    </w:rPr>
  </w:style>
  <w:style w:type="table" w:styleId="TableGrid">
    <w:name w:val="Table Grid"/>
    <w:basedOn w:val="TableNormal"/>
    <w:uiPriority w:val="39"/>
    <w:rsid w:val="00776F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6">
    <w:name w:val="Grid Table 1 Light Accent 6"/>
    <w:basedOn w:val="TableNormal"/>
    <w:uiPriority w:val="46"/>
    <w:rsid w:val="00CF6F3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CF6F3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1Char">
    <w:name w:val="Heading 1 Char"/>
    <w:basedOn w:val="DefaultParagraphFont"/>
    <w:link w:val="Heading1"/>
    <w:uiPriority w:val="9"/>
    <w:rsid w:val="008A667B"/>
    <w:rPr>
      <w:rFonts w:ascii="Arial" w:eastAsiaTheme="majorEastAsia" w:hAnsi="Arial" w:cs="Arial"/>
      <w:b/>
      <w:color w:val="2E74B5" w:themeColor="accent5" w:themeShade="BF"/>
    </w:rPr>
  </w:style>
  <w:style w:type="paragraph" w:styleId="TOCHeading">
    <w:name w:val="TOC Heading"/>
    <w:basedOn w:val="Heading1"/>
    <w:next w:val="Normal"/>
    <w:uiPriority w:val="39"/>
    <w:unhideWhenUsed/>
    <w:qFormat/>
    <w:rsid w:val="001E57AB"/>
    <w:pPr>
      <w:spacing w:line="259" w:lineRule="auto"/>
      <w:outlineLvl w:val="9"/>
    </w:pPr>
  </w:style>
  <w:style w:type="character" w:customStyle="1" w:styleId="Heading2Char">
    <w:name w:val="Heading 2 Char"/>
    <w:basedOn w:val="DefaultParagraphFont"/>
    <w:link w:val="Heading2"/>
    <w:uiPriority w:val="9"/>
    <w:rsid w:val="00273760"/>
    <w:rPr>
      <w:rFonts w:ascii="Arial" w:hAnsi="Arial" w:cs="Arial"/>
    </w:rPr>
  </w:style>
  <w:style w:type="character" w:customStyle="1" w:styleId="Heading3Char">
    <w:name w:val="Heading 3 Char"/>
    <w:basedOn w:val="DefaultParagraphFont"/>
    <w:link w:val="Heading3"/>
    <w:uiPriority w:val="9"/>
    <w:rsid w:val="009F55CA"/>
    <w:rPr>
      <w:rFonts w:ascii="Arial" w:eastAsiaTheme="majorEastAsia" w:hAnsi="Arial" w:cs="Arial"/>
      <w:b/>
      <w:color w:val="2E74B5" w:themeColor="accent5" w:themeShade="BF"/>
      <w:szCs w:val="24"/>
    </w:rPr>
  </w:style>
  <w:style w:type="paragraph" w:styleId="TOC1">
    <w:name w:val="toc 1"/>
    <w:basedOn w:val="Normal"/>
    <w:next w:val="Normal"/>
    <w:autoRedefine/>
    <w:uiPriority w:val="39"/>
    <w:unhideWhenUsed/>
    <w:rsid w:val="0069526B"/>
    <w:pPr>
      <w:spacing w:after="100"/>
    </w:pPr>
  </w:style>
  <w:style w:type="paragraph" w:styleId="TOC2">
    <w:name w:val="toc 2"/>
    <w:basedOn w:val="Normal"/>
    <w:next w:val="Normal"/>
    <w:autoRedefine/>
    <w:uiPriority w:val="39"/>
    <w:unhideWhenUsed/>
    <w:rsid w:val="0069526B"/>
    <w:pPr>
      <w:spacing w:after="100"/>
      <w:ind w:left="220"/>
    </w:pPr>
  </w:style>
  <w:style w:type="paragraph" w:styleId="TOC3">
    <w:name w:val="toc 3"/>
    <w:basedOn w:val="Normal"/>
    <w:next w:val="Normal"/>
    <w:autoRedefine/>
    <w:uiPriority w:val="39"/>
    <w:unhideWhenUsed/>
    <w:rsid w:val="0069526B"/>
    <w:pPr>
      <w:spacing w:after="100"/>
      <w:ind w:left="440"/>
    </w:pPr>
  </w:style>
  <w:style w:type="paragraph" w:customStyle="1" w:styleId="Style1">
    <w:name w:val="Style1"/>
    <w:basedOn w:val="BodyText"/>
    <w:qFormat/>
    <w:rsid w:val="00F14C40"/>
    <w:pPr>
      <w:widowControl w:val="0"/>
      <w:tabs>
        <w:tab w:val="left" w:pos="1620"/>
      </w:tabs>
      <w:spacing w:line="257" w:lineRule="auto"/>
    </w:pPr>
  </w:style>
  <w:style w:type="paragraph" w:styleId="BodyText">
    <w:name w:val="Body Text"/>
    <w:basedOn w:val="Normal"/>
    <w:link w:val="BodyTextChar"/>
    <w:uiPriority w:val="99"/>
    <w:semiHidden/>
    <w:unhideWhenUsed/>
    <w:rsid w:val="00BB6E4D"/>
    <w:pPr>
      <w:spacing w:after="120"/>
    </w:pPr>
  </w:style>
  <w:style w:type="character" w:customStyle="1" w:styleId="BodyTextChar">
    <w:name w:val="Body Text Char"/>
    <w:basedOn w:val="DefaultParagraphFont"/>
    <w:link w:val="BodyText"/>
    <w:uiPriority w:val="99"/>
    <w:semiHidden/>
    <w:rsid w:val="00BB6E4D"/>
  </w:style>
  <w:style w:type="paragraph" w:styleId="NoSpacing">
    <w:name w:val="No Spacing"/>
    <w:uiPriority w:val="1"/>
    <w:qFormat/>
    <w:rsid w:val="00BB6E4D"/>
    <w:pPr>
      <w:spacing w:after="0" w:line="240" w:lineRule="auto"/>
    </w:pPr>
  </w:style>
  <w:style w:type="table" w:customStyle="1" w:styleId="GridTable4-Accent61">
    <w:name w:val="Grid Table 4 - Accent 61"/>
    <w:basedOn w:val="TableNormal"/>
    <w:next w:val="GridTable4-Accent6"/>
    <w:uiPriority w:val="49"/>
    <w:rsid w:val="00F0627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1">
    <w:name w:val="Unresolved Mention1"/>
    <w:basedOn w:val="DefaultParagraphFont"/>
    <w:uiPriority w:val="99"/>
    <w:semiHidden/>
    <w:unhideWhenUsed/>
    <w:rsid w:val="00EC0C07"/>
    <w:rPr>
      <w:color w:val="808080"/>
      <w:shd w:val="clear" w:color="auto" w:fill="E6E6E6"/>
    </w:rPr>
  </w:style>
  <w:style w:type="character" w:customStyle="1" w:styleId="UnresolvedMention2">
    <w:name w:val="Unresolved Mention2"/>
    <w:basedOn w:val="DefaultParagraphFont"/>
    <w:uiPriority w:val="99"/>
    <w:semiHidden/>
    <w:unhideWhenUsed/>
    <w:rsid w:val="004A52C9"/>
    <w:rPr>
      <w:color w:val="808080"/>
      <w:shd w:val="clear" w:color="auto" w:fill="E6E6E6"/>
    </w:rPr>
  </w:style>
  <w:style w:type="character" w:customStyle="1" w:styleId="UnresolvedMention3">
    <w:name w:val="Unresolved Mention3"/>
    <w:basedOn w:val="DefaultParagraphFont"/>
    <w:uiPriority w:val="99"/>
    <w:semiHidden/>
    <w:unhideWhenUsed/>
    <w:rsid w:val="00AF0C1F"/>
    <w:rPr>
      <w:color w:val="808080"/>
      <w:shd w:val="clear" w:color="auto" w:fill="E6E6E6"/>
    </w:rPr>
  </w:style>
  <w:style w:type="character" w:styleId="UnresolvedMention">
    <w:name w:val="Unresolved Mention"/>
    <w:basedOn w:val="DefaultParagraphFont"/>
    <w:uiPriority w:val="99"/>
    <w:unhideWhenUsed/>
    <w:rsid w:val="00B677E4"/>
    <w:rPr>
      <w:color w:val="808080"/>
      <w:shd w:val="clear" w:color="auto" w:fill="E6E6E6"/>
    </w:rPr>
  </w:style>
  <w:style w:type="table" w:styleId="GridTable4-Accent5">
    <w:name w:val="Grid Table 4 Accent 5"/>
    <w:basedOn w:val="TableNormal"/>
    <w:uiPriority w:val="49"/>
    <w:rsid w:val="004F11F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normaltextrun">
    <w:name w:val="normaltextrun"/>
    <w:basedOn w:val="DefaultParagraphFont"/>
    <w:rsid w:val="00792486"/>
  </w:style>
  <w:style w:type="paragraph" w:customStyle="1" w:styleId="Default">
    <w:name w:val="Default"/>
    <w:rsid w:val="00E74801"/>
    <w:pPr>
      <w:autoSpaceDE w:val="0"/>
      <w:autoSpaceDN w:val="0"/>
      <w:adjustRightInd w:val="0"/>
      <w:spacing w:after="0" w:line="240" w:lineRule="auto"/>
    </w:pPr>
    <w:rPr>
      <w:rFonts w:ascii="Avenir LT Std 45 Book" w:hAnsi="Avenir LT Std 45 Book" w:cs="Avenir LT Std 45 Book"/>
      <w:color w:val="000000"/>
      <w:sz w:val="24"/>
      <w:szCs w:val="24"/>
    </w:rPr>
  </w:style>
  <w:style w:type="paragraph" w:customStyle="1" w:styleId="Pa1">
    <w:name w:val="Pa1"/>
    <w:basedOn w:val="Default"/>
    <w:next w:val="Default"/>
    <w:uiPriority w:val="99"/>
    <w:rsid w:val="00E74801"/>
    <w:pPr>
      <w:spacing w:line="181" w:lineRule="atLeast"/>
    </w:pPr>
    <w:rPr>
      <w:rFonts w:cstheme="minorBidi"/>
      <w:color w:val="auto"/>
    </w:rPr>
  </w:style>
  <w:style w:type="character" w:styleId="Mention">
    <w:name w:val="Mention"/>
    <w:basedOn w:val="DefaultParagraphFont"/>
    <w:uiPriority w:val="99"/>
    <w:unhideWhenUsed/>
    <w:rsid w:val="00301406"/>
    <w:rPr>
      <w:color w:val="2B579A"/>
      <w:shd w:val="clear" w:color="auto" w:fill="E1DFDD"/>
    </w:rPr>
  </w:style>
  <w:style w:type="table" w:customStyle="1" w:styleId="TableGrid1">
    <w:name w:val="Table Grid1"/>
    <w:basedOn w:val="TableNormal"/>
    <w:next w:val="TableGrid"/>
    <w:uiPriority w:val="39"/>
    <w:rsid w:val="00802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8738">
      <w:bodyDiv w:val="1"/>
      <w:marLeft w:val="0"/>
      <w:marRight w:val="0"/>
      <w:marTop w:val="0"/>
      <w:marBottom w:val="0"/>
      <w:divBdr>
        <w:top w:val="none" w:sz="0" w:space="0" w:color="auto"/>
        <w:left w:val="none" w:sz="0" w:space="0" w:color="auto"/>
        <w:bottom w:val="none" w:sz="0" w:space="0" w:color="auto"/>
        <w:right w:val="none" w:sz="0" w:space="0" w:color="auto"/>
      </w:divBdr>
      <w:divsChild>
        <w:div w:id="94250912">
          <w:marLeft w:val="0"/>
          <w:marRight w:val="0"/>
          <w:marTop w:val="0"/>
          <w:marBottom w:val="0"/>
          <w:divBdr>
            <w:top w:val="none" w:sz="0" w:space="0" w:color="auto"/>
            <w:left w:val="none" w:sz="0" w:space="0" w:color="auto"/>
            <w:bottom w:val="none" w:sz="0" w:space="0" w:color="auto"/>
            <w:right w:val="none" w:sz="0" w:space="0" w:color="auto"/>
          </w:divBdr>
        </w:div>
        <w:div w:id="110130700">
          <w:marLeft w:val="0"/>
          <w:marRight w:val="0"/>
          <w:marTop w:val="0"/>
          <w:marBottom w:val="0"/>
          <w:divBdr>
            <w:top w:val="none" w:sz="0" w:space="0" w:color="auto"/>
            <w:left w:val="none" w:sz="0" w:space="0" w:color="auto"/>
            <w:bottom w:val="none" w:sz="0" w:space="0" w:color="auto"/>
            <w:right w:val="none" w:sz="0" w:space="0" w:color="auto"/>
          </w:divBdr>
        </w:div>
        <w:div w:id="216820884">
          <w:marLeft w:val="0"/>
          <w:marRight w:val="0"/>
          <w:marTop w:val="0"/>
          <w:marBottom w:val="0"/>
          <w:divBdr>
            <w:top w:val="none" w:sz="0" w:space="0" w:color="auto"/>
            <w:left w:val="none" w:sz="0" w:space="0" w:color="auto"/>
            <w:bottom w:val="none" w:sz="0" w:space="0" w:color="auto"/>
            <w:right w:val="none" w:sz="0" w:space="0" w:color="auto"/>
          </w:divBdr>
        </w:div>
        <w:div w:id="219756028">
          <w:marLeft w:val="0"/>
          <w:marRight w:val="0"/>
          <w:marTop w:val="0"/>
          <w:marBottom w:val="0"/>
          <w:divBdr>
            <w:top w:val="none" w:sz="0" w:space="0" w:color="auto"/>
            <w:left w:val="none" w:sz="0" w:space="0" w:color="auto"/>
            <w:bottom w:val="none" w:sz="0" w:space="0" w:color="auto"/>
            <w:right w:val="none" w:sz="0" w:space="0" w:color="auto"/>
          </w:divBdr>
        </w:div>
        <w:div w:id="282033969">
          <w:marLeft w:val="0"/>
          <w:marRight w:val="0"/>
          <w:marTop w:val="0"/>
          <w:marBottom w:val="0"/>
          <w:divBdr>
            <w:top w:val="none" w:sz="0" w:space="0" w:color="auto"/>
            <w:left w:val="none" w:sz="0" w:space="0" w:color="auto"/>
            <w:bottom w:val="none" w:sz="0" w:space="0" w:color="auto"/>
            <w:right w:val="none" w:sz="0" w:space="0" w:color="auto"/>
          </w:divBdr>
        </w:div>
        <w:div w:id="300156601">
          <w:marLeft w:val="0"/>
          <w:marRight w:val="0"/>
          <w:marTop w:val="0"/>
          <w:marBottom w:val="0"/>
          <w:divBdr>
            <w:top w:val="none" w:sz="0" w:space="0" w:color="auto"/>
            <w:left w:val="none" w:sz="0" w:space="0" w:color="auto"/>
            <w:bottom w:val="none" w:sz="0" w:space="0" w:color="auto"/>
            <w:right w:val="none" w:sz="0" w:space="0" w:color="auto"/>
          </w:divBdr>
        </w:div>
        <w:div w:id="376320209">
          <w:marLeft w:val="0"/>
          <w:marRight w:val="0"/>
          <w:marTop w:val="0"/>
          <w:marBottom w:val="0"/>
          <w:divBdr>
            <w:top w:val="none" w:sz="0" w:space="0" w:color="auto"/>
            <w:left w:val="none" w:sz="0" w:space="0" w:color="auto"/>
            <w:bottom w:val="none" w:sz="0" w:space="0" w:color="auto"/>
            <w:right w:val="none" w:sz="0" w:space="0" w:color="auto"/>
          </w:divBdr>
        </w:div>
        <w:div w:id="420415353">
          <w:marLeft w:val="0"/>
          <w:marRight w:val="0"/>
          <w:marTop w:val="0"/>
          <w:marBottom w:val="0"/>
          <w:divBdr>
            <w:top w:val="none" w:sz="0" w:space="0" w:color="auto"/>
            <w:left w:val="none" w:sz="0" w:space="0" w:color="auto"/>
            <w:bottom w:val="none" w:sz="0" w:space="0" w:color="auto"/>
            <w:right w:val="none" w:sz="0" w:space="0" w:color="auto"/>
          </w:divBdr>
        </w:div>
        <w:div w:id="457921432">
          <w:marLeft w:val="0"/>
          <w:marRight w:val="0"/>
          <w:marTop w:val="0"/>
          <w:marBottom w:val="0"/>
          <w:divBdr>
            <w:top w:val="none" w:sz="0" w:space="0" w:color="auto"/>
            <w:left w:val="none" w:sz="0" w:space="0" w:color="auto"/>
            <w:bottom w:val="none" w:sz="0" w:space="0" w:color="auto"/>
            <w:right w:val="none" w:sz="0" w:space="0" w:color="auto"/>
          </w:divBdr>
        </w:div>
        <w:div w:id="681248342">
          <w:marLeft w:val="0"/>
          <w:marRight w:val="0"/>
          <w:marTop w:val="0"/>
          <w:marBottom w:val="0"/>
          <w:divBdr>
            <w:top w:val="none" w:sz="0" w:space="0" w:color="auto"/>
            <w:left w:val="none" w:sz="0" w:space="0" w:color="auto"/>
            <w:bottom w:val="none" w:sz="0" w:space="0" w:color="auto"/>
            <w:right w:val="none" w:sz="0" w:space="0" w:color="auto"/>
          </w:divBdr>
        </w:div>
        <w:div w:id="980890086">
          <w:marLeft w:val="0"/>
          <w:marRight w:val="0"/>
          <w:marTop w:val="0"/>
          <w:marBottom w:val="0"/>
          <w:divBdr>
            <w:top w:val="none" w:sz="0" w:space="0" w:color="auto"/>
            <w:left w:val="none" w:sz="0" w:space="0" w:color="auto"/>
            <w:bottom w:val="none" w:sz="0" w:space="0" w:color="auto"/>
            <w:right w:val="none" w:sz="0" w:space="0" w:color="auto"/>
          </w:divBdr>
        </w:div>
        <w:div w:id="1038433213">
          <w:marLeft w:val="0"/>
          <w:marRight w:val="0"/>
          <w:marTop w:val="0"/>
          <w:marBottom w:val="0"/>
          <w:divBdr>
            <w:top w:val="none" w:sz="0" w:space="0" w:color="auto"/>
            <w:left w:val="none" w:sz="0" w:space="0" w:color="auto"/>
            <w:bottom w:val="none" w:sz="0" w:space="0" w:color="auto"/>
            <w:right w:val="none" w:sz="0" w:space="0" w:color="auto"/>
          </w:divBdr>
        </w:div>
        <w:div w:id="1039209082">
          <w:marLeft w:val="0"/>
          <w:marRight w:val="0"/>
          <w:marTop w:val="0"/>
          <w:marBottom w:val="0"/>
          <w:divBdr>
            <w:top w:val="none" w:sz="0" w:space="0" w:color="auto"/>
            <w:left w:val="none" w:sz="0" w:space="0" w:color="auto"/>
            <w:bottom w:val="none" w:sz="0" w:space="0" w:color="auto"/>
            <w:right w:val="none" w:sz="0" w:space="0" w:color="auto"/>
          </w:divBdr>
        </w:div>
        <w:div w:id="1418402222">
          <w:marLeft w:val="0"/>
          <w:marRight w:val="0"/>
          <w:marTop w:val="0"/>
          <w:marBottom w:val="0"/>
          <w:divBdr>
            <w:top w:val="none" w:sz="0" w:space="0" w:color="auto"/>
            <w:left w:val="none" w:sz="0" w:space="0" w:color="auto"/>
            <w:bottom w:val="none" w:sz="0" w:space="0" w:color="auto"/>
            <w:right w:val="none" w:sz="0" w:space="0" w:color="auto"/>
          </w:divBdr>
        </w:div>
        <w:div w:id="1468279920">
          <w:marLeft w:val="0"/>
          <w:marRight w:val="0"/>
          <w:marTop w:val="0"/>
          <w:marBottom w:val="0"/>
          <w:divBdr>
            <w:top w:val="none" w:sz="0" w:space="0" w:color="auto"/>
            <w:left w:val="none" w:sz="0" w:space="0" w:color="auto"/>
            <w:bottom w:val="none" w:sz="0" w:space="0" w:color="auto"/>
            <w:right w:val="none" w:sz="0" w:space="0" w:color="auto"/>
          </w:divBdr>
        </w:div>
        <w:div w:id="1487628894">
          <w:marLeft w:val="0"/>
          <w:marRight w:val="0"/>
          <w:marTop w:val="0"/>
          <w:marBottom w:val="0"/>
          <w:divBdr>
            <w:top w:val="none" w:sz="0" w:space="0" w:color="auto"/>
            <w:left w:val="none" w:sz="0" w:space="0" w:color="auto"/>
            <w:bottom w:val="none" w:sz="0" w:space="0" w:color="auto"/>
            <w:right w:val="none" w:sz="0" w:space="0" w:color="auto"/>
          </w:divBdr>
        </w:div>
        <w:div w:id="1654945274">
          <w:marLeft w:val="0"/>
          <w:marRight w:val="0"/>
          <w:marTop w:val="0"/>
          <w:marBottom w:val="0"/>
          <w:divBdr>
            <w:top w:val="none" w:sz="0" w:space="0" w:color="auto"/>
            <w:left w:val="none" w:sz="0" w:space="0" w:color="auto"/>
            <w:bottom w:val="none" w:sz="0" w:space="0" w:color="auto"/>
            <w:right w:val="none" w:sz="0" w:space="0" w:color="auto"/>
          </w:divBdr>
        </w:div>
      </w:divsChild>
    </w:div>
    <w:div w:id="126356918">
      <w:bodyDiv w:val="1"/>
      <w:marLeft w:val="0"/>
      <w:marRight w:val="0"/>
      <w:marTop w:val="0"/>
      <w:marBottom w:val="0"/>
      <w:divBdr>
        <w:top w:val="none" w:sz="0" w:space="0" w:color="auto"/>
        <w:left w:val="none" w:sz="0" w:space="0" w:color="auto"/>
        <w:bottom w:val="none" w:sz="0" w:space="0" w:color="auto"/>
        <w:right w:val="none" w:sz="0" w:space="0" w:color="auto"/>
      </w:divBdr>
    </w:div>
    <w:div w:id="189268431">
      <w:bodyDiv w:val="1"/>
      <w:marLeft w:val="0"/>
      <w:marRight w:val="0"/>
      <w:marTop w:val="0"/>
      <w:marBottom w:val="0"/>
      <w:divBdr>
        <w:top w:val="none" w:sz="0" w:space="0" w:color="auto"/>
        <w:left w:val="none" w:sz="0" w:space="0" w:color="auto"/>
        <w:bottom w:val="none" w:sz="0" w:space="0" w:color="auto"/>
        <w:right w:val="none" w:sz="0" w:space="0" w:color="auto"/>
      </w:divBdr>
    </w:div>
    <w:div w:id="318769485">
      <w:bodyDiv w:val="1"/>
      <w:marLeft w:val="0"/>
      <w:marRight w:val="0"/>
      <w:marTop w:val="0"/>
      <w:marBottom w:val="0"/>
      <w:divBdr>
        <w:top w:val="none" w:sz="0" w:space="0" w:color="auto"/>
        <w:left w:val="none" w:sz="0" w:space="0" w:color="auto"/>
        <w:bottom w:val="none" w:sz="0" w:space="0" w:color="auto"/>
        <w:right w:val="none" w:sz="0" w:space="0" w:color="auto"/>
      </w:divBdr>
    </w:div>
    <w:div w:id="328220764">
      <w:bodyDiv w:val="1"/>
      <w:marLeft w:val="0"/>
      <w:marRight w:val="0"/>
      <w:marTop w:val="0"/>
      <w:marBottom w:val="0"/>
      <w:divBdr>
        <w:top w:val="none" w:sz="0" w:space="0" w:color="auto"/>
        <w:left w:val="none" w:sz="0" w:space="0" w:color="auto"/>
        <w:bottom w:val="none" w:sz="0" w:space="0" w:color="auto"/>
        <w:right w:val="none" w:sz="0" w:space="0" w:color="auto"/>
      </w:divBdr>
    </w:div>
    <w:div w:id="417749312">
      <w:bodyDiv w:val="1"/>
      <w:marLeft w:val="0"/>
      <w:marRight w:val="0"/>
      <w:marTop w:val="0"/>
      <w:marBottom w:val="0"/>
      <w:divBdr>
        <w:top w:val="none" w:sz="0" w:space="0" w:color="auto"/>
        <w:left w:val="none" w:sz="0" w:space="0" w:color="auto"/>
        <w:bottom w:val="none" w:sz="0" w:space="0" w:color="auto"/>
        <w:right w:val="none" w:sz="0" w:space="0" w:color="auto"/>
      </w:divBdr>
    </w:div>
    <w:div w:id="430319610">
      <w:bodyDiv w:val="1"/>
      <w:marLeft w:val="0"/>
      <w:marRight w:val="0"/>
      <w:marTop w:val="0"/>
      <w:marBottom w:val="0"/>
      <w:divBdr>
        <w:top w:val="none" w:sz="0" w:space="0" w:color="auto"/>
        <w:left w:val="none" w:sz="0" w:space="0" w:color="auto"/>
        <w:bottom w:val="none" w:sz="0" w:space="0" w:color="auto"/>
        <w:right w:val="none" w:sz="0" w:space="0" w:color="auto"/>
      </w:divBdr>
    </w:div>
    <w:div w:id="480003141">
      <w:bodyDiv w:val="1"/>
      <w:marLeft w:val="0"/>
      <w:marRight w:val="0"/>
      <w:marTop w:val="0"/>
      <w:marBottom w:val="0"/>
      <w:divBdr>
        <w:top w:val="none" w:sz="0" w:space="0" w:color="auto"/>
        <w:left w:val="none" w:sz="0" w:space="0" w:color="auto"/>
        <w:bottom w:val="none" w:sz="0" w:space="0" w:color="auto"/>
        <w:right w:val="none" w:sz="0" w:space="0" w:color="auto"/>
      </w:divBdr>
      <w:divsChild>
        <w:div w:id="116486459">
          <w:marLeft w:val="0"/>
          <w:marRight w:val="0"/>
          <w:marTop w:val="0"/>
          <w:marBottom w:val="0"/>
          <w:divBdr>
            <w:top w:val="none" w:sz="0" w:space="0" w:color="auto"/>
            <w:left w:val="none" w:sz="0" w:space="0" w:color="auto"/>
            <w:bottom w:val="none" w:sz="0" w:space="0" w:color="auto"/>
            <w:right w:val="none" w:sz="0" w:space="0" w:color="auto"/>
          </w:divBdr>
        </w:div>
      </w:divsChild>
    </w:div>
    <w:div w:id="536744663">
      <w:bodyDiv w:val="1"/>
      <w:marLeft w:val="0"/>
      <w:marRight w:val="0"/>
      <w:marTop w:val="0"/>
      <w:marBottom w:val="0"/>
      <w:divBdr>
        <w:top w:val="none" w:sz="0" w:space="0" w:color="auto"/>
        <w:left w:val="none" w:sz="0" w:space="0" w:color="auto"/>
        <w:bottom w:val="none" w:sz="0" w:space="0" w:color="auto"/>
        <w:right w:val="none" w:sz="0" w:space="0" w:color="auto"/>
      </w:divBdr>
    </w:div>
    <w:div w:id="633678839">
      <w:bodyDiv w:val="1"/>
      <w:marLeft w:val="0"/>
      <w:marRight w:val="0"/>
      <w:marTop w:val="0"/>
      <w:marBottom w:val="0"/>
      <w:divBdr>
        <w:top w:val="none" w:sz="0" w:space="0" w:color="auto"/>
        <w:left w:val="none" w:sz="0" w:space="0" w:color="auto"/>
        <w:bottom w:val="none" w:sz="0" w:space="0" w:color="auto"/>
        <w:right w:val="none" w:sz="0" w:space="0" w:color="auto"/>
      </w:divBdr>
    </w:div>
    <w:div w:id="817108377">
      <w:bodyDiv w:val="1"/>
      <w:marLeft w:val="0"/>
      <w:marRight w:val="0"/>
      <w:marTop w:val="0"/>
      <w:marBottom w:val="0"/>
      <w:divBdr>
        <w:top w:val="none" w:sz="0" w:space="0" w:color="auto"/>
        <w:left w:val="none" w:sz="0" w:space="0" w:color="auto"/>
        <w:bottom w:val="none" w:sz="0" w:space="0" w:color="auto"/>
        <w:right w:val="none" w:sz="0" w:space="0" w:color="auto"/>
      </w:divBdr>
    </w:div>
    <w:div w:id="887304914">
      <w:bodyDiv w:val="1"/>
      <w:marLeft w:val="0"/>
      <w:marRight w:val="0"/>
      <w:marTop w:val="0"/>
      <w:marBottom w:val="0"/>
      <w:divBdr>
        <w:top w:val="none" w:sz="0" w:space="0" w:color="auto"/>
        <w:left w:val="none" w:sz="0" w:space="0" w:color="auto"/>
        <w:bottom w:val="none" w:sz="0" w:space="0" w:color="auto"/>
        <w:right w:val="none" w:sz="0" w:space="0" w:color="auto"/>
      </w:divBdr>
    </w:div>
    <w:div w:id="899899492">
      <w:bodyDiv w:val="1"/>
      <w:marLeft w:val="0"/>
      <w:marRight w:val="0"/>
      <w:marTop w:val="0"/>
      <w:marBottom w:val="0"/>
      <w:divBdr>
        <w:top w:val="none" w:sz="0" w:space="0" w:color="auto"/>
        <w:left w:val="none" w:sz="0" w:space="0" w:color="auto"/>
        <w:bottom w:val="none" w:sz="0" w:space="0" w:color="auto"/>
        <w:right w:val="none" w:sz="0" w:space="0" w:color="auto"/>
      </w:divBdr>
    </w:div>
    <w:div w:id="909536498">
      <w:bodyDiv w:val="1"/>
      <w:marLeft w:val="0"/>
      <w:marRight w:val="0"/>
      <w:marTop w:val="0"/>
      <w:marBottom w:val="0"/>
      <w:divBdr>
        <w:top w:val="none" w:sz="0" w:space="0" w:color="auto"/>
        <w:left w:val="none" w:sz="0" w:space="0" w:color="auto"/>
        <w:bottom w:val="none" w:sz="0" w:space="0" w:color="auto"/>
        <w:right w:val="none" w:sz="0" w:space="0" w:color="auto"/>
      </w:divBdr>
      <w:divsChild>
        <w:div w:id="1872985789">
          <w:marLeft w:val="0"/>
          <w:marRight w:val="0"/>
          <w:marTop w:val="0"/>
          <w:marBottom w:val="0"/>
          <w:divBdr>
            <w:top w:val="none" w:sz="0" w:space="0" w:color="auto"/>
            <w:left w:val="none" w:sz="0" w:space="0" w:color="auto"/>
            <w:bottom w:val="none" w:sz="0" w:space="0" w:color="auto"/>
            <w:right w:val="none" w:sz="0" w:space="0" w:color="auto"/>
          </w:divBdr>
          <w:divsChild>
            <w:div w:id="12606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640713">
      <w:bodyDiv w:val="1"/>
      <w:marLeft w:val="0"/>
      <w:marRight w:val="0"/>
      <w:marTop w:val="0"/>
      <w:marBottom w:val="0"/>
      <w:divBdr>
        <w:top w:val="none" w:sz="0" w:space="0" w:color="auto"/>
        <w:left w:val="none" w:sz="0" w:space="0" w:color="auto"/>
        <w:bottom w:val="none" w:sz="0" w:space="0" w:color="auto"/>
        <w:right w:val="none" w:sz="0" w:space="0" w:color="auto"/>
      </w:divBdr>
    </w:div>
    <w:div w:id="1154177343">
      <w:bodyDiv w:val="1"/>
      <w:marLeft w:val="0"/>
      <w:marRight w:val="0"/>
      <w:marTop w:val="0"/>
      <w:marBottom w:val="0"/>
      <w:divBdr>
        <w:top w:val="none" w:sz="0" w:space="0" w:color="auto"/>
        <w:left w:val="none" w:sz="0" w:space="0" w:color="auto"/>
        <w:bottom w:val="none" w:sz="0" w:space="0" w:color="auto"/>
        <w:right w:val="none" w:sz="0" w:space="0" w:color="auto"/>
      </w:divBdr>
    </w:div>
    <w:div w:id="1174953161">
      <w:bodyDiv w:val="1"/>
      <w:marLeft w:val="0"/>
      <w:marRight w:val="0"/>
      <w:marTop w:val="0"/>
      <w:marBottom w:val="0"/>
      <w:divBdr>
        <w:top w:val="none" w:sz="0" w:space="0" w:color="auto"/>
        <w:left w:val="none" w:sz="0" w:space="0" w:color="auto"/>
        <w:bottom w:val="none" w:sz="0" w:space="0" w:color="auto"/>
        <w:right w:val="none" w:sz="0" w:space="0" w:color="auto"/>
      </w:divBdr>
    </w:div>
    <w:div w:id="1205555494">
      <w:bodyDiv w:val="1"/>
      <w:marLeft w:val="0"/>
      <w:marRight w:val="0"/>
      <w:marTop w:val="0"/>
      <w:marBottom w:val="0"/>
      <w:divBdr>
        <w:top w:val="none" w:sz="0" w:space="0" w:color="auto"/>
        <w:left w:val="none" w:sz="0" w:space="0" w:color="auto"/>
        <w:bottom w:val="none" w:sz="0" w:space="0" w:color="auto"/>
        <w:right w:val="none" w:sz="0" w:space="0" w:color="auto"/>
      </w:divBdr>
    </w:div>
    <w:div w:id="1247112855">
      <w:bodyDiv w:val="1"/>
      <w:marLeft w:val="0"/>
      <w:marRight w:val="0"/>
      <w:marTop w:val="0"/>
      <w:marBottom w:val="0"/>
      <w:divBdr>
        <w:top w:val="none" w:sz="0" w:space="0" w:color="auto"/>
        <w:left w:val="none" w:sz="0" w:space="0" w:color="auto"/>
        <w:bottom w:val="none" w:sz="0" w:space="0" w:color="auto"/>
        <w:right w:val="none" w:sz="0" w:space="0" w:color="auto"/>
      </w:divBdr>
    </w:div>
    <w:div w:id="1336375697">
      <w:bodyDiv w:val="1"/>
      <w:marLeft w:val="0"/>
      <w:marRight w:val="0"/>
      <w:marTop w:val="0"/>
      <w:marBottom w:val="0"/>
      <w:divBdr>
        <w:top w:val="none" w:sz="0" w:space="0" w:color="auto"/>
        <w:left w:val="none" w:sz="0" w:space="0" w:color="auto"/>
        <w:bottom w:val="none" w:sz="0" w:space="0" w:color="auto"/>
        <w:right w:val="none" w:sz="0" w:space="0" w:color="auto"/>
      </w:divBdr>
    </w:div>
    <w:div w:id="1352339963">
      <w:bodyDiv w:val="1"/>
      <w:marLeft w:val="0"/>
      <w:marRight w:val="0"/>
      <w:marTop w:val="0"/>
      <w:marBottom w:val="0"/>
      <w:divBdr>
        <w:top w:val="none" w:sz="0" w:space="0" w:color="auto"/>
        <w:left w:val="none" w:sz="0" w:space="0" w:color="auto"/>
        <w:bottom w:val="none" w:sz="0" w:space="0" w:color="auto"/>
        <w:right w:val="none" w:sz="0" w:space="0" w:color="auto"/>
      </w:divBdr>
    </w:div>
    <w:div w:id="1363627862">
      <w:bodyDiv w:val="1"/>
      <w:marLeft w:val="0"/>
      <w:marRight w:val="0"/>
      <w:marTop w:val="0"/>
      <w:marBottom w:val="0"/>
      <w:divBdr>
        <w:top w:val="none" w:sz="0" w:space="0" w:color="auto"/>
        <w:left w:val="none" w:sz="0" w:space="0" w:color="auto"/>
        <w:bottom w:val="none" w:sz="0" w:space="0" w:color="auto"/>
        <w:right w:val="none" w:sz="0" w:space="0" w:color="auto"/>
      </w:divBdr>
    </w:div>
    <w:div w:id="1412921781">
      <w:bodyDiv w:val="1"/>
      <w:marLeft w:val="0"/>
      <w:marRight w:val="0"/>
      <w:marTop w:val="0"/>
      <w:marBottom w:val="0"/>
      <w:divBdr>
        <w:top w:val="none" w:sz="0" w:space="0" w:color="auto"/>
        <w:left w:val="none" w:sz="0" w:space="0" w:color="auto"/>
        <w:bottom w:val="none" w:sz="0" w:space="0" w:color="auto"/>
        <w:right w:val="none" w:sz="0" w:space="0" w:color="auto"/>
      </w:divBdr>
    </w:div>
    <w:div w:id="1487471286">
      <w:bodyDiv w:val="1"/>
      <w:marLeft w:val="0"/>
      <w:marRight w:val="0"/>
      <w:marTop w:val="0"/>
      <w:marBottom w:val="0"/>
      <w:divBdr>
        <w:top w:val="none" w:sz="0" w:space="0" w:color="auto"/>
        <w:left w:val="none" w:sz="0" w:space="0" w:color="auto"/>
        <w:bottom w:val="none" w:sz="0" w:space="0" w:color="auto"/>
        <w:right w:val="none" w:sz="0" w:space="0" w:color="auto"/>
      </w:divBdr>
    </w:div>
    <w:div w:id="1517695537">
      <w:bodyDiv w:val="1"/>
      <w:marLeft w:val="0"/>
      <w:marRight w:val="0"/>
      <w:marTop w:val="0"/>
      <w:marBottom w:val="0"/>
      <w:divBdr>
        <w:top w:val="none" w:sz="0" w:space="0" w:color="auto"/>
        <w:left w:val="none" w:sz="0" w:space="0" w:color="auto"/>
        <w:bottom w:val="none" w:sz="0" w:space="0" w:color="auto"/>
        <w:right w:val="none" w:sz="0" w:space="0" w:color="auto"/>
      </w:divBdr>
    </w:div>
    <w:div w:id="1534271043">
      <w:bodyDiv w:val="1"/>
      <w:marLeft w:val="0"/>
      <w:marRight w:val="0"/>
      <w:marTop w:val="0"/>
      <w:marBottom w:val="0"/>
      <w:divBdr>
        <w:top w:val="none" w:sz="0" w:space="0" w:color="auto"/>
        <w:left w:val="none" w:sz="0" w:space="0" w:color="auto"/>
        <w:bottom w:val="none" w:sz="0" w:space="0" w:color="auto"/>
        <w:right w:val="none" w:sz="0" w:space="0" w:color="auto"/>
      </w:divBdr>
    </w:div>
    <w:div w:id="1676610383">
      <w:bodyDiv w:val="1"/>
      <w:marLeft w:val="0"/>
      <w:marRight w:val="0"/>
      <w:marTop w:val="0"/>
      <w:marBottom w:val="0"/>
      <w:divBdr>
        <w:top w:val="none" w:sz="0" w:space="0" w:color="auto"/>
        <w:left w:val="none" w:sz="0" w:space="0" w:color="auto"/>
        <w:bottom w:val="none" w:sz="0" w:space="0" w:color="auto"/>
        <w:right w:val="none" w:sz="0" w:space="0" w:color="auto"/>
      </w:divBdr>
    </w:div>
    <w:div w:id="1680541325">
      <w:bodyDiv w:val="1"/>
      <w:marLeft w:val="0"/>
      <w:marRight w:val="0"/>
      <w:marTop w:val="0"/>
      <w:marBottom w:val="0"/>
      <w:divBdr>
        <w:top w:val="none" w:sz="0" w:space="0" w:color="auto"/>
        <w:left w:val="none" w:sz="0" w:space="0" w:color="auto"/>
        <w:bottom w:val="none" w:sz="0" w:space="0" w:color="auto"/>
        <w:right w:val="none" w:sz="0" w:space="0" w:color="auto"/>
      </w:divBdr>
    </w:div>
    <w:div w:id="1713380095">
      <w:bodyDiv w:val="1"/>
      <w:marLeft w:val="0"/>
      <w:marRight w:val="0"/>
      <w:marTop w:val="0"/>
      <w:marBottom w:val="0"/>
      <w:divBdr>
        <w:top w:val="none" w:sz="0" w:space="0" w:color="auto"/>
        <w:left w:val="none" w:sz="0" w:space="0" w:color="auto"/>
        <w:bottom w:val="none" w:sz="0" w:space="0" w:color="auto"/>
        <w:right w:val="none" w:sz="0" w:space="0" w:color="auto"/>
      </w:divBdr>
    </w:div>
    <w:div w:id="1974095539">
      <w:bodyDiv w:val="1"/>
      <w:marLeft w:val="0"/>
      <w:marRight w:val="0"/>
      <w:marTop w:val="0"/>
      <w:marBottom w:val="0"/>
      <w:divBdr>
        <w:top w:val="none" w:sz="0" w:space="0" w:color="auto"/>
        <w:left w:val="none" w:sz="0" w:space="0" w:color="auto"/>
        <w:bottom w:val="none" w:sz="0" w:space="0" w:color="auto"/>
        <w:right w:val="none" w:sz="0" w:space="0" w:color="auto"/>
      </w:divBdr>
    </w:div>
    <w:div w:id="200785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education.ohio.gov/Topics/Special-Education/Improving-Educational-Experiences-and-Outcomes" TargetMode="External"/><Relationship Id="rId26" Type="http://schemas.openxmlformats.org/officeDocument/2006/relationships/hyperlink" Target="http://education.ohio.gov/Topics/School-Improvement/State-Support-Teams" TargetMode="External"/><Relationship Id="rId39" Type="http://schemas.openxmlformats.org/officeDocument/2006/relationships/hyperlink" Target="http://education.ohio.gov/Topics/Special-Education/Ohios-Learning-Standards-Extended" TargetMode="External"/><Relationship Id="rId21" Type="http://schemas.openxmlformats.org/officeDocument/2006/relationships/hyperlink" Target="https://nceo.umn.edu/docs/OnlinePubs/NCEOBrief18.pdf" TargetMode="External"/><Relationship Id="rId34" Type="http://schemas.openxmlformats.org/officeDocument/2006/relationships/hyperlink" Target="https://education.ohio.gov/getattachment/Topics/Testing/Ohios-Alternate-Assessment-for-Students-with-Sign/AASCD-Family-FAQ_Participation_5-5-2021.pdf.aspx?lang=en-US" TargetMode="External"/><Relationship Id="rId42" Type="http://schemas.openxmlformats.org/officeDocument/2006/relationships/hyperlink" Target="https://education.ohio.gov/getattachment/Topics/Testing/Ohios-Alternate-Assessment-for-Students-with-Sign/Family-Resource-on-Assessment-ES-es-US-1-1.pdf.aspx?lang=en-US" TargetMode="External"/><Relationship Id="rId47" Type="http://schemas.openxmlformats.org/officeDocument/2006/relationships/hyperlink" Target="mailto:AAparticipation@education.ohio.gov" TargetMode="External"/><Relationship Id="rId50" Type="http://schemas.openxmlformats.org/officeDocument/2006/relationships/hyperlink" Target="https://oh-alt.portal.cambiumast.com/"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education.ohio.gov/About/EachChildOurFuture" TargetMode="External"/><Relationship Id="rId29" Type="http://schemas.openxmlformats.org/officeDocument/2006/relationships/hyperlink" Target="http://education.ohio.gov/getattachment/Topics/Testing/Ohios-Alternate-Assessment-for-Students-with-Sign/AASCDDecisionmakingTool_Final_Accessible.pdf.aspx?lang=en-US" TargetMode="External"/><Relationship Id="rId11" Type="http://schemas.openxmlformats.org/officeDocument/2006/relationships/endnotes" Target="endnotes.xml"/><Relationship Id="rId24" Type="http://schemas.openxmlformats.org/officeDocument/2006/relationships/hyperlink" Target="https://nceo.umn.edu/docs/OnlinePubs/NCEOBrief18.pdf" TargetMode="External"/><Relationship Id="rId32" Type="http://schemas.openxmlformats.org/officeDocument/2006/relationships/hyperlink" Target="https://education.ohio.gov/getattachment/Topics/Testing/Ohios-Alternate-Assessment-for-Students-with-Sign/AASCD-Family-FAQ_Assessment_5-5-2021.pdf.aspx?lang=en-US" TargetMode="External"/><Relationship Id="rId37" Type="http://schemas.openxmlformats.org/officeDocument/2006/relationships/hyperlink" Target="https://education.ohio.gov/getattachment/Topics/Testing/Ohios-Alternate-Assessment-for-Students-with-Sign/Family-Resource-on-Extended-Standards-and-Instruction-ES-es-US-2.pdf.aspx?lang=en-US" TargetMode="External"/><Relationship Id="rId40" Type="http://schemas.openxmlformats.org/officeDocument/2006/relationships/hyperlink" Target="https://oh-alt.portal.cambiumast.com/resources/student-practice-resources/2020-2021-aascd-practice-site-guidance-document" TargetMode="External"/><Relationship Id="rId45" Type="http://schemas.openxmlformats.org/officeDocument/2006/relationships/hyperlink" Target="https://education.ohio.gov/getattachment/Topics/Testing/Ohios-Alternate-Assessment-for-Students-with-Sign/AASCD-Family-FAQ_Extensions-and-Instruction_5-5-2021.pdf.aspx?lang=en-US"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education.ohio.gov/Topics/Testing/Ohios-Alternate-Assessment-for-Students-with-Sign" TargetMode="External"/><Relationship Id="rId31" Type="http://schemas.openxmlformats.org/officeDocument/2006/relationships/hyperlink" Target="https://oh-alt.portal.cambiumast.com/teachers.html" TargetMode="External"/><Relationship Id="rId44" Type="http://schemas.openxmlformats.org/officeDocument/2006/relationships/hyperlink" Target="https://education.ohio.gov/getattachment/Topics/Testing/Ohios-Alternate-Assessment-for-Students-with-Sign/Family-Resource-on-Participation-ES-es-US.pdf.aspx?lang=en-US"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ducation.ohio.gov/Topics/District-and-School-Continuous-Improvement/State-Support-Teams" TargetMode="External"/><Relationship Id="rId22" Type="http://schemas.openxmlformats.org/officeDocument/2006/relationships/hyperlink" Target="https://ataem.org/" TargetMode="External"/><Relationship Id="rId27" Type="http://schemas.openxmlformats.org/officeDocument/2006/relationships/hyperlink" Target="https://literacyaccessforall.org/" TargetMode="External"/><Relationship Id="rId30" Type="http://schemas.openxmlformats.org/officeDocument/2006/relationships/hyperlink" Target="https://nceo.umn.edu/docs/OnlinePubs/NCEOBrief18.pdf" TargetMode="External"/><Relationship Id="rId35" Type="http://schemas.openxmlformats.org/officeDocument/2006/relationships/hyperlink" Target="https://education.ohio.gov/getattachment/Topics/Testing/Ohios-Alternate-Assessment-for-Students-with-Sign/Family-Resource-on-Participation-ES-es-US.pdf.aspx?lang=en-US" TargetMode="External"/><Relationship Id="rId43" Type="http://schemas.openxmlformats.org/officeDocument/2006/relationships/hyperlink" Target="https://education.ohio.gov/getattachment/Topics/Testing/Ohios-Alternate-Assessment-for-Students-with-Sign/AASCD-Family-FAQ_Participation_5-5-2021.pdf.aspx?lang=en-US" TargetMode="External"/><Relationship Id="rId48" Type="http://schemas.openxmlformats.org/officeDocument/2006/relationships/hyperlink" Target="mailto:AAparticipation@education.ohio.gov" TargetMode="External"/><Relationship Id="rId8" Type="http://schemas.openxmlformats.org/officeDocument/2006/relationships/settings" Target="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education.ohio.gov/Topics/Special-Education/Improving-Educational-Experiences-and-Outcomes-for/Improving-Educational-Experiences-and-Outcomes-for" TargetMode="External"/><Relationship Id="rId25" Type="http://schemas.openxmlformats.org/officeDocument/2006/relationships/hyperlink" Target="https://conference.ocali.org/" TargetMode="External"/><Relationship Id="rId33" Type="http://schemas.openxmlformats.org/officeDocument/2006/relationships/hyperlink" Target="https://education.ohio.gov/getattachment/Topics/Testing/Ohios-Alternate-Assessment-for-Students-with-Sign/Family-Resource-on-Assessment-ES-es-US-1-1.pdf.aspx?lang=en-US" TargetMode="External"/><Relationship Id="rId38" Type="http://schemas.openxmlformats.org/officeDocument/2006/relationships/hyperlink" Target="https://oh-alt.portal.cambiumast.com/teachers.html" TargetMode="External"/><Relationship Id="rId46" Type="http://schemas.openxmlformats.org/officeDocument/2006/relationships/hyperlink" Target="https://education.ohio.gov/getattachment/Topics/Testing/Ohios-Alternate-Assessment-for-Students-with-Sign/Family-Resource-on-Extended-Standards-and-Instruction-ES-es-US-2.pdf.aspx?lang=en-US" TargetMode="External"/><Relationship Id="rId20" Type="http://schemas.openxmlformats.org/officeDocument/2006/relationships/hyperlink" Target="http://education.ohio.gov/Topics/Special-Education/Special-Education-Monitoring-System/Ohio-s-Special-Education-Ratings" TargetMode="External"/><Relationship Id="rId41" Type="http://schemas.openxmlformats.org/officeDocument/2006/relationships/hyperlink" Target="https://education.ohio.gov/getattachment/Topics/Testing/Ohios-Alternate-Assessment-for-Students-with-Sign/AASCD-Family-FAQ_Assessment_5-5-2021.pdf.aspx?lang=en-U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education.ohio.gov/getattachment/About/Ohios-Strategic-Plan-for-Education/Final-Strategic-Plan-Board-Approved.pdf.aspx?lang=en-US" TargetMode="External"/><Relationship Id="rId23" Type="http://schemas.openxmlformats.org/officeDocument/2006/relationships/hyperlink" Target="http://education.ohio.gov/getattachment/Topics/Testing/Ohios-Alternate-Assessment-for-Students-with-Sign/AASCDDecisionmakingTool_Final_Accessible.pdf.aspx?lang=en-US" TargetMode="External"/><Relationship Id="rId28" Type="http://schemas.openxmlformats.org/officeDocument/2006/relationships/hyperlink" Target="http://education.ohio.gov/Topics/Special-Education/Comprehensive-Monitoring-System/IDEA-Onsite-Reviews/OEC-Monitoring-Training-Materials" TargetMode="External"/><Relationship Id="rId36" Type="http://schemas.openxmlformats.org/officeDocument/2006/relationships/hyperlink" Target="https://education.ohio.gov/getattachment/Topics/Testing/Ohios-Alternate-Assessment-for-Students-with-Sign/AASCD-Family-FAQ_Extensions-and-Instruction_5-5-2021.pdf.aspx?lang=en-US" TargetMode="External"/><Relationship Id="rId49" Type="http://schemas.openxmlformats.org/officeDocument/2006/relationships/hyperlink" Target="http://education.ohio.gov/Topics/Testing/Ohio-English-Language-Proficiency-Assessment-OELPA/Ohios-Alternate-Assessment-for-Students-with-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9FDD00739D7438DA51139CD336D0A" ma:contentTypeVersion="26" ma:contentTypeDescription="Create a new document." ma:contentTypeScope="" ma:versionID="b3cfa435db3df6fbc1c92b52f2f86cc7">
  <xsd:schema xmlns:xsd="http://www.w3.org/2001/XMLSchema" xmlns:xs="http://www.w3.org/2001/XMLSchema" xmlns:p="http://schemas.microsoft.com/office/2006/metadata/properties" xmlns:ns2="3c06d121-1384-4707-a809-c567d7e27b4a" xmlns:ns3="478cc103-6bb3-4abc-a4ed-769d4657896d" targetNamespace="http://schemas.microsoft.com/office/2006/metadata/properties" ma:root="true" ma:fieldsID="2befde7228f328469d051ce21b38e0a8" ns2:_="" ns3:_="">
    <xsd:import namespace="3c06d121-1384-4707-a809-c567d7e27b4a"/>
    <xsd:import namespace="478cc103-6bb3-4abc-a4ed-769d465789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_dlc_DocId" minOccurs="0"/>
                <xsd:element ref="ns3:_dlc_DocIdUrl" minOccurs="0"/>
                <xsd:element ref="ns3:_dlc_DocIdPersistId"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6d121-1384-4707-a809-c567d7e27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cc103-6bb3-4abc-a4ed-769d465789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haredWithUsers xmlns="478cc103-6bb3-4abc-a4ed-769d4657896d">
      <UserInfo>
        <DisplayName>Lynskey, Mark</DisplayName>
        <AccountId>60</AccountId>
        <AccountType/>
      </UserInfo>
      <UserInfo>
        <DisplayName>Stanford, Peter</DisplayName>
        <AccountId>37</AccountId>
        <AccountType/>
      </UserInfo>
      <UserInfo>
        <DisplayName>Callahan, Parise</DisplayName>
        <AccountId>66</AccountId>
        <AccountType/>
      </UserInfo>
      <UserInfo>
        <DisplayName>Mcdevitt, Michael</DisplayName>
        <AccountId>67</AccountId>
        <AccountType/>
      </UserInfo>
      <UserInfo>
        <DisplayName>SharingLinks.fef195aa-ce32-4982-9c83-2db49c408a1b.OrganizationEdit.1a0083c4-0fb8-4426-89cf-00834f3df97d</DisplayName>
        <AccountId>17</AccountId>
        <AccountType/>
      </UserInfo>
      <UserInfo>
        <DisplayName>Difrancesco, Andrea</DisplayName>
        <AccountId>69</AccountId>
        <AccountType/>
      </UserInfo>
      <UserInfo>
        <DisplayName>Rector, Ashley</DisplayName>
        <AccountId>70</AccountId>
        <AccountType/>
      </UserInfo>
      <UserInfo>
        <DisplayName>Cline, Christine</DisplayName>
        <AccountId>21</AccountId>
        <AccountType/>
      </UserInfo>
      <UserInfo>
        <DisplayName>Coston, Caroline</DisplayName>
        <AccountId>78</AccountId>
        <AccountType/>
      </UserInfo>
      <UserInfo>
        <DisplayName>Mclaughlin-Stoica, Wendy</DisplayName>
        <AccountId>450</AccountId>
        <AccountType/>
      </UserInfo>
      <UserInfo>
        <DisplayName>Chandler, Lisa</DisplayName>
        <AccountId>480</AccountId>
        <AccountType/>
      </UserInfo>
      <UserInfo>
        <DisplayName>Buoni, Sarah</DisplayName>
        <AccountId>123</AccountId>
        <AccountType/>
      </UserInfo>
      <UserInfo>
        <DisplayName>Lewis-Crumbley, Taunya</DisplayName>
        <AccountId>108</AccountId>
        <AccountType/>
      </UserInfo>
    </SharedWithUsers>
    <_dlc_DocId xmlns="478cc103-6bb3-4abc-a4ed-769d4657896d">3SD5JRFFPNXW-1640550731-528</_dlc_DocId>
    <_dlc_DocIdUrl xmlns="478cc103-6bb3-4abc-a4ed-769d4657896d">
      <Url>https://ohiodas.sharepoint.com/sites/OfficeofAssessment/_layouts/15/DocIdRedir.aspx?ID=3SD5JRFFPNXW-1640550731-528</Url>
      <Description>3SD5JRFFPNXW-1640550731-528</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1AAA24-3600-4F8F-9661-0B0205102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6d121-1384-4707-a809-c567d7e27b4a"/>
    <ds:schemaRef ds:uri="478cc103-6bb3-4abc-a4ed-769d46578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D1808-E2BE-4070-9B7D-73A8B936C3ED}">
  <ds:schemaRefs>
    <ds:schemaRef ds:uri="http://schemas.microsoft.com/sharepoint/events"/>
  </ds:schemaRefs>
</ds:datastoreItem>
</file>

<file path=customXml/itemProps3.xml><?xml version="1.0" encoding="utf-8"?>
<ds:datastoreItem xmlns:ds="http://schemas.openxmlformats.org/officeDocument/2006/customXml" ds:itemID="{F7BA7835-210B-4BCC-BB4A-16F5C9BCA654}">
  <ds:schemaRefs>
    <ds:schemaRef ds:uri="http://schemas.microsoft.com/office/2006/metadata/properties"/>
    <ds:schemaRef ds:uri="http://schemas.microsoft.com/office/infopath/2007/PartnerControls"/>
    <ds:schemaRef ds:uri="478cc103-6bb3-4abc-a4ed-769d4657896d"/>
  </ds:schemaRefs>
</ds:datastoreItem>
</file>

<file path=customXml/itemProps4.xml><?xml version="1.0" encoding="utf-8"?>
<ds:datastoreItem xmlns:ds="http://schemas.openxmlformats.org/officeDocument/2006/customXml" ds:itemID="{79E3A116-882E-4675-8499-85FCC98DDD3C}">
  <ds:schemaRefs>
    <ds:schemaRef ds:uri="http://schemas.openxmlformats.org/officeDocument/2006/bibliography"/>
  </ds:schemaRefs>
</ds:datastoreItem>
</file>

<file path=customXml/itemProps5.xml><?xml version="1.0" encoding="utf-8"?>
<ds:datastoreItem xmlns:ds="http://schemas.openxmlformats.org/officeDocument/2006/customXml" ds:itemID="{5B7C5E04-397F-4839-AC13-CD35E3A5B0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19</Pages>
  <Words>7825</Words>
  <Characters>44609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52330</CharactersWithSpaces>
  <SharedDoc>false</SharedDoc>
  <HLinks>
    <vt:vector size="378" baseType="variant">
      <vt:variant>
        <vt:i4>4980751</vt:i4>
      </vt:variant>
      <vt:variant>
        <vt:i4>186</vt:i4>
      </vt:variant>
      <vt:variant>
        <vt:i4>0</vt:i4>
      </vt:variant>
      <vt:variant>
        <vt:i4>5</vt:i4>
      </vt:variant>
      <vt:variant>
        <vt:lpwstr>https://oh-alt.portal.cambiumast.com/</vt:lpwstr>
      </vt:variant>
      <vt:variant>
        <vt:lpwstr/>
      </vt:variant>
      <vt:variant>
        <vt:i4>1703959</vt:i4>
      </vt:variant>
      <vt:variant>
        <vt:i4>183</vt:i4>
      </vt:variant>
      <vt:variant>
        <vt:i4>0</vt:i4>
      </vt:variant>
      <vt:variant>
        <vt:i4>5</vt:i4>
      </vt:variant>
      <vt:variant>
        <vt:lpwstr>http://education.ohio.gov/Topics/Testing/Ohio-English-Language-Proficiency-Assessment-OELPA/Ohios-Alternate-Assessment-for-Students-with-Sign</vt:lpwstr>
      </vt:variant>
      <vt:variant>
        <vt:lpwstr/>
      </vt:variant>
      <vt:variant>
        <vt:i4>5636132</vt:i4>
      </vt:variant>
      <vt:variant>
        <vt:i4>180</vt:i4>
      </vt:variant>
      <vt:variant>
        <vt:i4>0</vt:i4>
      </vt:variant>
      <vt:variant>
        <vt:i4>5</vt:i4>
      </vt:variant>
      <vt:variant>
        <vt:lpwstr>mailto:AAparticipation@education.ohio.gov</vt:lpwstr>
      </vt:variant>
      <vt:variant>
        <vt:lpwstr/>
      </vt:variant>
      <vt:variant>
        <vt:i4>5636132</vt:i4>
      </vt:variant>
      <vt:variant>
        <vt:i4>177</vt:i4>
      </vt:variant>
      <vt:variant>
        <vt:i4>0</vt:i4>
      </vt:variant>
      <vt:variant>
        <vt:i4>5</vt:i4>
      </vt:variant>
      <vt:variant>
        <vt:lpwstr>mailto:AAparticipation@education.ohio.gov</vt:lpwstr>
      </vt:variant>
      <vt:variant>
        <vt:lpwstr/>
      </vt:variant>
      <vt:variant>
        <vt:i4>6488188</vt:i4>
      </vt:variant>
      <vt:variant>
        <vt:i4>174</vt:i4>
      </vt:variant>
      <vt:variant>
        <vt:i4>0</vt:i4>
      </vt:variant>
      <vt:variant>
        <vt:i4>5</vt:i4>
      </vt:variant>
      <vt:variant>
        <vt:lpwstr>https://education.ohio.gov/getattachment/Topics/Testing/Ohios-Alternate-Assessment-for-Students-with-Sign/Family-Resource-on-Extended-Standards-and-Instruction-ES-es-US-2.pdf.aspx?lang=en-US</vt:lpwstr>
      </vt:variant>
      <vt:variant>
        <vt:lpwstr/>
      </vt:variant>
      <vt:variant>
        <vt:i4>5636112</vt:i4>
      </vt:variant>
      <vt:variant>
        <vt:i4>171</vt:i4>
      </vt:variant>
      <vt:variant>
        <vt:i4>0</vt:i4>
      </vt:variant>
      <vt:variant>
        <vt:i4>5</vt:i4>
      </vt:variant>
      <vt:variant>
        <vt:lpwstr>https://education.ohio.gov/getattachment/Topics/Testing/Ohios-Alternate-Assessment-for-Students-with-Sign/AASCD-Family-FAQ_Extensions-and-Instruction_5-5-2021.pdf.aspx?lang=en-US</vt:lpwstr>
      </vt:variant>
      <vt:variant>
        <vt:lpwstr/>
      </vt:variant>
      <vt:variant>
        <vt:i4>6422585</vt:i4>
      </vt:variant>
      <vt:variant>
        <vt:i4>168</vt:i4>
      </vt:variant>
      <vt:variant>
        <vt:i4>0</vt:i4>
      </vt:variant>
      <vt:variant>
        <vt:i4>5</vt:i4>
      </vt:variant>
      <vt:variant>
        <vt:lpwstr>https://education.ohio.gov/getattachment/Topics/Testing/Ohios-Alternate-Assessment-for-Students-with-Sign/Family-Resource-on-Participation-ES-es-US.pdf.aspx?lang=en-US</vt:lpwstr>
      </vt:variant>
      <vt:variant>
        <vt:lpwstr/>
      </vt:variant>
      <vt:variant>
        <vt:i4>4194325</vt:i4>
      </vt:variant>
      <vt:variant>
        <vt:i4>165</vt:i4>
      </vt:variant>
      <vt:variant>
        <vt:i4>0</vt:i4>
      </vt:variant>
      <vt:variant>
        <vt:i4>5</vt:i4>
      </vt:variant>
      <vt:variant>
        <vt:lpwstr>https://education.ohio.gov/getattachment/Topics/Testing/Ohios-Alternate-Assessment-for-Students-with-Sign/AASCD-Family-FAQ_Participation_5-5-2021.pdf.aspx?lang=en-US</vt:lpwstr>
      </vt:variant>
      <vt:variant>
        <vt:lpwstr/>
      </vt:variant>
      <vt:variant>
        <vt:i4>65606</vt:i4>
      </vt:variant>
      <vt:variant>
        <vt:i4>162</vt:i4>
      </vt:variant>
      <vt:variant>
        <vt:i4>0</vt:i4>
      </vt:variant>
      <vt:variant>
        <vt:i4>5</vt:i4>
      </vt:variant>
      <vt:variant>
        <vt:lpwstr>https://education.ohio.gov/getattachment/Topics/Testing/Ohios-Alternate-Assessment-for-Students-with-Sign/Family-Resource-on-Assessment-ES-es-US-1-1.pdf.aspx?lang=en-US</vt:lpwstr>
      </vt:variant>
      <vt:variant>
        <vt:lpwstr/>
      </vt:variant>
      <vt:variant>
        <vt:i4>5636127</vt:i4>
      </vt:variant>
      <vt:variant>
        <vt:i4>159</vt:i4>
      </vt:variant>
      <vt:variant>
        <vt:i4>0</vt:i4>
      </vt:variant>
      <vt:variant>
        <vt:i4>5</vt:i4>
      </vt:variant>
      <vt:variant>
        <vt:lpwstr>https://education.ohio.gov/getattachment/Topics/Testing/Ohios-Alternate-Assessment-for-Students-with-Sign/AASCD-Family-FAQ_Assessment_5-5-2021.pdf.aspx?lang=en-US</vt:lpwstr>
      </vt:variant>
      <vt:variant>
        <vt:lpwstr/>
      </vt:variant>
      <vt:variant>
        <vt:i4>851995</vt:i4>
      </vt:variant>
      <vt:variant>
        <vt:i4>156</vt:i4>
      </vt:variant>
      <vt:variant>
        <vt:i4>0</vt:i4>
      </vt:variant>
      <vt:variant>
        <vt:i4>5</vt:i4>
      </vt:variant>
      <vt:variant>
        <vt:lpwstr>https://oh-alt.portal.cambiumast.com/resources/student-practice-resources/2020-2021-aascd-practice-site-guidance-document</vt:lpwstr>
      </vt:variant>
      <vt:variant>
        <vt:lpwstr/>
      </vt:variant>
      <vt:variant>
        <vt:i4>4456479</vt:i4>
      </vt:variant>
      <vt:variant>
        <vt:i4>153</vt:i4>
      </vt:variant>
      <vt:variant>
        <vt:i4>0</vt:i4>
      </vt:variant>
      <vt:variant>
        <vt:i4>5</vt:i4>
      </vt:variant>
      <vt:variant>
        <vt:lpwstr>https://oh-alt.portal.cambiumast.com/resources/administration-manuals-,-a-,-guidance-documents/tam-and-sifpt/test-administration-manual/spring-2021-aascd-test-administration-manual</vt:lpwstr>
      </vt:variant>
      <vt:variant>
        <vt:lpwstr/>
      </vt:variant>
      <vt:variant>
        <vt:i4>6226007</vt:i4>
      </vt:variant>
      <vt:variant>
        <vt:i4>150</vt:i4>
      </vt:variant>
      <vt:variant>
        <vt:i4>0</vt:i4>
      </vt:variant>
      <vt:variant>
        <vt:i4>5</vt:i4>
      </vt:variant>
      <vt:variant>
        <vt:lpwstr>http://education.ohio.gov/Topics/Special-Education/Ohios-Learning-Standards-Extended</vt:lpwstr>
      </vt:variant>
      <vt:variant>
        <vt:lpwstr/>
      </vt:variant>
      <vt:variant>
        <vt:i4>196634</vt:i4>
      </vt:variant>
      <vt:variant>
        <vt:i4>147</vt:i4>
      </vt:variant>
      <vt:variant>
        <vt:i4>0</vt:i4>
      </vt:variant>
      <vt:variant>
        <vt:i4>5</vt:i4>
      </vt:variant>
      <vt:variant>
        <vt:lpwstr>https://oh-alt.portal.cambiumast.com/resources/general-resources/decision-framework-(flowchart)-for-alternate-assessment-participation-guidelines</vt:lpwstr>
      </vt:variant>
      <vt:variant>
        <vt:lpwstr/>
      </vt:variant>
      <vt:variant>
        <vt:i4>7667765</vt:i4>
      </vt:variant>
      <vt:variant>
        <vt:i4>144</vt:i4>
      </vt:variant>
      <vt:variant>
        <vt:i4>0</vt:i4>
      </vt:variant>
      <vt:variant>
        <vt:i4>5</vt:i4>
      </vt:variant>
      <vt:variant>
        <vt:lpwstr>https://oh-alt.portal.cambiumast.com/teachers.html</vt:lpwstr>
      </vt:variant>
      <vt:variant>
        <vt:lpwstr/>
      </vt:variant>
      <vt:variant>
        <vt:i4>6488188</vt:i4>
      </vt:variant>
      <vt:variant>
        <vt:i4>141</vt:i4>
      </vt:variant>
      <vt:variant>
        <vt:i4>0</vt:i4>
      </vt:variant>
      <vt:variant>
        <vt:i4>5</vt:i4>
      </vt:variant>
      <vt:variant>
        <vt:lpwstr>https://education.ohio.gov/getattachment/Topics/Testing/Ohios-Alternate-Assessment-for-Students-with-Sign/Family-Resource-on-Extended-Standards-and-Instruction-ES-es-US-2.pdf.aspx?lang=en-US</vt:lpwstr>
      </vt:variant>
      <vt:variant>
        <vt:lpwstr/>
      </vt:variant>
      <vt:variant>
        <vt:i4>5636112</vt:i4>
      </vt:variant>
      <vt:variant>
        <vt:i4>138</vt:i4>
      </vt:variant>
      <vt:variant>
        <vt:i4>0</vt:i4>
      </vt:variant>
      <vt:variant>
        <vt:i4>5</vt:i4>
      </vt:variant>
      <vt:variant>
        <vt:lpwstr>https://education.ohio.gov/getattachment/Topics/Testing/Ohios-Alternate-Assessment-for-Students-with-Sign/AASCD-Family-FAQ_Extensions-and-Instruction_5-5-2021.pdf.aspx?lang=en-US</vt:lpwstr>
      </vt:variant>
      <vt:variant>
        <vt:lpwstr/>
      </vt:variant>
      <vt:variant>
        <vt:i4>6422585</vt:i4>
      </vt:variant>
      <vt:variant>
        <vt:i4>135</vt:i4>
      </vt:variant>
      <vt:variant>
        <vt:i4>0</vt:i4>
      </vt:variant>
      <vt:variant>
        <vt:i4>5</vt:i4>
      </vt:variant>
      <vt:variant>
        <vt:lpwstr>https://education.ohio.gov/getattachment/Topics/Testing/Ohios-Alternate-Assessment-for-Students-with-Sign/Family-Resource-on-Participation-ES-es-US.pdf.aspx?lang=en-US</vt:lpwstr>
      </vt:variant>
      <vt:variant>
        <vt:lpwstr/>
      </vt:variant>
      <vt:variant>
        <vt:i4>4194325</vt:i4>
      </vt:variant>
      <vt:variant>
        <vt:i4>132</vt:i4>
      </vt:variant>
      <vt:variant>
        <vt:i4>0</vt:i4>
      </vt:variant>
      <vt:variant>
        <vt:i4>5</vt:i4>
      </vt:variant>
      <vt:variant>
        <vt:lpwstr>https://education.ohio.gov/getattachment/Topics/Testing/Ohios-Alternate-Assessment-for-Students-with-Sign/AASCD-Family-FAQ_Participation_5-5-2021.pdf.aspx?lang=en-US</vt:lpwstr>
      </vt:variant>
      <vt:variant>
        <vt:lpwstr/>
      </vt:variant>
      <vt:variant>
        <vt:i4>65606</vt:i4>
      </vt:variant>
      <vt:variant>
        <vt:i4>129</vt:i4>
      </vt:variant>
      <vt:variant>
        <vt:i4>0</vt:i4>
      </vt:variant>
      <vt:variant>
        <vt:i4>5</vt:i4>
      </vt:variant>
      <vt:variant>
        <vt:lpwstr>https://education.ohio.gov/getattachment/Topics/Testing/Ohios-Alternate-Assessment-for-Students-with-Sign/Family-Resource-on-Assessment-ES-es-US-1-1.pdf.aspx?lang=en-US</vt:lpwstr>
      </vt:variant>
      <vt:variant>
        <vt:lpwstr/>
      </vt:variant>
      <vt:variant>
        <vt:i4>5636127</vt:i4>
      </vt:variant>
      <vt:variant>
        <vt:i4>126</vt:i4>
      </vt:variant>
      <vt:variant>
        <vt:i4>0</vt:i4>
      </vt:variant>
      <vt:variant>
        <vt:i4>5</vt:i4>
      </vt:variant>
      <vt:variant>
        <vt:lpwstr>https://education.ohio.gov/getattachment/Topics/Testing/Ohios-Alternate-Assessment-for-Students-with-Sign/AASCD-Family-FAQ_Assessment_5-5-2021.pdf.aspx?lang=en-US</vt:lpwstr>
      </vt:variant>
      <vt:variant>
        <vt:lpwstr/>
      </vt:variant>
      <vt:variant>
        <vt:i4>196634</vt:i4>
      </vt:variant>
      <vt:variant>
        <vt:i4>123</vt:i4>
      </vt:variant>
      <vt:variant>
        <vt:i4>0</vt:i4>
      </vt:variant>
      <vt:variant>
        <vt:i4>5</vt:i4>
      </vt:variant>
      <vt:variant>
        <vt:lpwstr>https://oh-alt.portal.cambiumast.com/resources/general-resources/decision-framework-(flowchart)-for-alternate-assessment-participation-guidelines</vt:lpwstr>
      </vt:variant>
      <vt:variant>
        <vt:lpwstr/>
      </vt:variant>
      <vt:variant>
        <vt:i4>7667765</vt:i4>
      </vt:variant>
      <vt:variant>
        <vt:i4>120</vt:i4>
      </vt:variant>
      <vt:variant>
        <vt:i4>0</vt:i4>
      </vt:variant>
      <vt:variant>
        <vt:i4>5</vt:i4>
      </vt:variant>
      <vt:variant>
        <vt:lpwstr>https://oh-alt.portal.cambiumast.com/teachers.html</vt:lpwstr>
      </vt:variant>
      <vt:variant>
        <vt:lpwstr/>
      </vt:variant>
      <vt:variant>
        <vt:i4>4456479</vt:i4>
      </vt:variant>
      <vt:variant>
        <vt:i4>117</vt:i4>
      </vt:variant>
      <vt:variant>
        <vt:i4>0</vt:i4>
      </vt:variant>
      <vt:variant>
        <vt:i4>5</vt:i4>
      </vt:variant>
      <vt:variant>
        <vt:lpwstr>https://oh-alt.portal.cambiumast.com/resources/administration-manuals-,-a-,-guidance-documents/tam-and-sifpt/test-administration-manual/spring-2021-aascd-test-administration-manual</vt:lpwstr>
      </vt:variant>
      <vt:variant>
        <vt:lpwstr/>
      </vt:variant>
      <vt:variant>
        <vt:i4>720978</vt:i4>
      </vt:variant>
      <vt:variant>
        <vt:i4>114</vt:i4>
      </vt:variant>
      <vt:variant>
        <vt:i4>0</vt:i4>
      </vt:variant>
      <vt:variant>
        <vt:i4>5</vt:i4>
      </vt:variant>
      <vt:variant>
        <vt:lpwstr>https://oh-alt.portal.cambiumast.com/resources/general-resources/aascd-participation-decision-making-tool</vt:lpwstr>
      </vt:variant>
      <vt:variant>
        <vt:lpwstr/>
      </vt:variant>
      <vt:variant>
        <vt:i4>196634</vt:i4>
      </vt:variant>
      <vt:variant>
        <vt:i4>111</vt:i4>
      </vt:variant>
      <vt:variant>
        <vt:i4>0</vt:i4>
      </vt:variant>
      <vt:variant>
        <vt:i4>5</vt:i4>
      </vt:variant>
      <vt:variant>
        <vt:lpwstr>https://oh-alt.portal.cambiumast.com/resources/general-resources/decision-framework-(flowchart)-for-alternate-assessment-participation-guidelines</vt:lpwstr>
      </vt:variant>
      <vt:variant>
        <vt:lpwstr/>
      </vt:variant>
      <vt:variant>
        <vt:i4>1179713</vt:i4>
      </vt:variant>
      <vt:variant>
        <vt:i4>108</vt:i4>
      </vt:variant>
      <vt:variant>
        <vt:i4>0</vt:i4>
      </vt:variant>
      <vt:variant>
        <vt:i4>5</vt:i4>
      </vt:variant>
      <vt:variant>
        <vt:lpwstr>https://nceo.umn.edu/docs/OnlinePubs/NCEOBrief18.pdf</vt:lpwstr>
      </vt:variant>
      <vt:variant>
        <vt:lpwstr/>
      </vt:variant>
      <vt:variant>
        <vt:i4>196696</vt:i4>
      </vt:variant>
      <vt:variant>
        <vt:i4>105</vt:i4>
      </vt:variant>
      <vt:variant>
        <vt:i4>0</vt:i4>
      </vt:variant>
      <vt:variant>
        <vt:i4>5</vt:i4>
      </vt:variant>
      <vt:variant>
        <vt:lpwstr>http://education.ohio.gov/getattachment/Topics/Testing/Ohios-Alternate-Assessment-for-Students-with-Sign/AASCDDecisionmakingTool_Final_Accessible.pdf.aspx?lang=en-US</vt:lpwstr>
      </vt:variant>
      <vt:variant>
        <vt:lpwstr/>
      </vt:variant>
      <vt:variant>
        <vt:i4>131089</vt:i4>
      </vt:variant>
      <vt:variant>
        <vt:i4>102</vt:i4>
      </vt:variant>
      <vt:variant>
        <vt:i4>0</vt:i4>
      </vt:variant>
      <vt:variant>
        <vt:i4>5</vt:i4>
      </vt:variant>
      <vt:variant>
        <vt:lpwstr>http://education.ohio.gov/Topics/Special-Education/Comprehensive-Monitoring-System/IDEA-Onsite-Reviews/OEC-Monitoring-Training-Materials</vt:lpwstr>
      </vt:variant>
      <vt:variant>
        <vt:lpwstr/>
      </vt:variant>
      <vt:variant>
        <vt:i4>1703964</vt:i4>
      </vt:variant>
      <vt:variant>
        <vt:i4>99</vt:i4>
      </vt:variant>
      <vt:variant>
        <vt:i4>0</vt:i4>
      </vt:variant>
      <vt:variant>
        <vt:i4>5</vt:i4>
      </vt:variant>
      <vt:variant>
        <vt:lpwstr>https://literacyaccessforall.org/</vt:lpwstr>
      </vt:variant>
      <vt:variant>
        <vt:lpwstr/>
      </vt:variant>
      <vt:variant>
        <vt:i4>2293885</vt:i4>
      </vt:variant>
      <vt:variant>
        <vt:i4>96</vt:i4>
      </vt:variant>
      <vt:variant>
        <vt:i4>0</vt:i4>
      </vt:variant>
      <vt:variant>
        <vt:i4>5</vt:i4>
      </vt:variant>
      <vt:variant>
        <vt:lpwstr>http://education.ohio.gov/Topics/School-Improvement/State-Support-Teams</vt:lpwstr>
      </vt:variant>
      <vt:variant>
        <vt:lpwstr/>
      </vt:variant>
      <vt:variant>
        <vt:i4>917587</vt:i4>
      </vt:variant>
      <vt:variant>
        <vt:i4>93</vt:i4>
      </vt:variant>
      <vt:variant>
        <vt:i4>0</vt:i4>
      </vt:variant>
      <vt:variant>
        <vt:i4>5</vt:i4>
      </vt:variant>
      <vt:variant>
        <vt:lpwstr>https://conference.ocali.org/</vt:lpwstr>
      </vt:variant>
      <vt:variant>
        <vt:lpwstr/>
      </vt:variant>
      <vt:variant>
        <vt:i4>1179713</vt:i4>
      </vt:variant>
      <vt:variant>
        <vt:i4>90</vt:i4>
      </vt:variant>
      <vt:variant>
        <vt:i4>0</vt:i4>
      </vt:variant>
      <vt:variant>
        <vt:i4>5</vt:i4>
      </vt:variant>
      <vt:variant>
        <vt:lpwstr>https://nceo.umn.edu/docs/OnlinePubs/NCEOBrief18.pdf</vt:lpwstr>
      </vt:variant>
      <vt:variant>
        <vt:lpwstr/>
      </vt:variant>
      <vt:variant>
        <vt:i4>196696</vt:i4>
      </vt:variant>
      <vt:variant>
        <vt:i4>87</vt:i4>
      </vt:variant>
      <vt:variant>
        <vt:i4>0</vt:i4>
      </vt:variant>
      <vt:variant>
        <vt:i4>5</vt:i4>
      </vt:variant>
      <vt:variant>
        <vt:lpwstr>http://education.ohio.gov/getattachment/Topics/Testing/Ohios-Alternate-Assessment-for-Students-with-Sign/AASCDDecisionmakingTool_Final_Accessible.pdf.aspx?lang=en-US</vt:lpwstr>
      </vt:variant>
      <vt:variant>
        <vt:lpwstr/>
      </vt:variant>
      <vt:variant>
        <vt:i4>7536677</vt:i4>
      </vt:variant>
      <vt:variant>
        <vt:i4>84</vt:i4>
      </vt:variant>
      <vt:variant>
        <vt:i4>0</vt:i4>
      </vt:variant>
      <vt:variant>
        <vt:i4>5</vt:i4>
      </vt:variant>
      <vt:variant>
        <vt:lpwstr>https://ataem.org/</vt:lpwstr>
      </vt:variant>
      <vt:variant>
        <vt:lpwstr/>
      </vt:variant>
      <vt:variant>
        <vt:i4>1179713</vt:i4>
      </vt:variant>
      <vt:variant>
        <vt:i4>81</vt:i4>
      </vt:variant>
      <vt:variant>
        <vt:i4>0</vt:i4>
      </vt:variant>
      <vt:variant>
        <vt:i4>5</vt:i4>
      </vt:variant>
      <vt:variant>
        <vt:lpwstr>https://nceo.umn.edu/docs/OnlinePubs/NCEOBrief18.pdf</vt:lpwstr>
      </vt:variant>
      <vt:variant>
        <vt:lpwstr/>
      </vt:variant>
      <vt:variant>
        <vt:i4>6357043</vt:i4>
      </vt:variant>
      <vt:variant>
        <vt:i4>78</vt:i4>
      </vt:variant>
      <vt:variant>
        <vt:i4>0</vt:i4>
      </vt:variant>
      <vt:variant>
        <vt:i4>5</vt:i4>
      </vt:variant>
      <vt:variant>
        <vt:lpwstr>http://education.ohio.gov/Topics/Special-Education/Special-Education-Monitoring-System/Ohio-s-Special-Education-Ratings</vt:lpwstr>
      </vt:variant>
      <vt:variant>
        <vt:lpwstr/>
      </vt:variant>
      <vt:variant>
        <vt:i4>7733363</vt:i4>
      </vt:variant>
      <vt:variant>
        <vt:i4>75</vt:i4>
      </vt:variant>
      <vt:variant>
        <vt:i4>0</vt:i4>
      </vt:variant>
      <vt:variant>
        <vt:i4>5</vt:i4>
      </vt:variant>
      <vt:variant>
        <vt:lpwstr>https://education.ohio.gov/Topics/Testing/Ohios-Alternate-Assessment-for-Students-with-Sign</vt:lpwstr>
      </vt:variant>
      <vt:variant>
        <vt:lpwstr/>
      </vt:variant>
      <vt:variant>
        <vt:i4>4259865</vt:i4>
      </vt:variant>
      <vt:variant>
        <vt:i4>72</vt:i4>
      </vt:variant>
      <vt:variant>
        <vt:i4>0</vt:i4>
      </vt:variant>
      <vt:variant>
        <vt:i4>5</vt:i4>
      </vt:variant>
      <vt:variant>
        <vt:lpwstr>http://education.ohio.gov/Topics/Special-Education/Improving-Educational-Experiences-and-Outcomes</vt:lpwstr>
      </vt:variant>
      <vt:variant>
        <vt:lpwstr/>
      </vt:variant>
      <vt:variant>
        <vt:i4>5963864</vt:i4>
      </vt:variant>
      <vt:variant>
        <vt:i4>69</vt:i4>
      </vt:variant>
      <vt:variant>
        <vt:i4>0</vt:i4>
      </vt:variant>
      <vt:variant>
        <vt:i4>5</vt:i4>
      </vt:variant>
      <vt:variant>
        <vt:lpwstr>http://education.ohio.gov/Topics/Special-Education/Improving-Educational-Experiences-and-Outcomes-for/Improving-Educational-Experiences-and-Outcomes-for</vt:lpwstr>
      </vt:variant>
      <vt:variant>
        <vt:lpwstr/>
      </vt:variant>
      <vt:variant>
        <vt:i4>3276918</vt:i4>
      </vt:variant>
      <vt:variant>
        <vt:i4>66</vt:i4>
      </vt:variant>
      <vt:variant>
        <vt:i4>0</vt:i4>
      </vt:variant>
      <vt:variant>
        <vt:i4>5</vt:i4>
      </vt:variant>
      <vt:variant>
        <vt:lpwstr>https://education.ohio.gov/About/EachChildOurFuture</vt:lpwstr>
      </vt:variant>
      <vt:variant>
        <vt:lpwstr/>
      </vt:variant>
      <vt:variant>
        <vt:i4>4194373</vt:i4>
      </vt:variant>
      <vt:variant>
        <vt:i4>63</vt:i4>
      </vt:variant>
      <vt:variant>
        <vt:i4>0</vt:i4>
      </vt:variant>
      <vt:variant>
        <vt:i4>5</vt:i4>
      </vt:variant>
      <vt:variant>
        <vt:lpwstr>http://education.ohio.gov/getattachment/About/Ohios-Strategic-Plan-for-Education/Final-Strategic-Plan-Board-Approved.pdf.aspx?lang=en-US</vt:lpwstr>
      </vt:variant>
      <vt:variant>
        <vt:lpwstr/>
      </vt:variant>
      <vt:variant>
        <vt:i4>3866664</vt:i4>
      </vt:variant>
      <vt:variant>
        <vt:i4>60</vt:i4>
      </vt:variant>
      <vt:variant>
        <vt:i4>0</vt:i4>
      </vt:variant>
      <vt:variant>
        <vt:i4>5</vt:i4>
      </vt:variant>
      <vt:variant>
        <vt:lpwstr>http://education.ohio.gov/Topics/District-and-School-Continuous-Improvement/State-Support-Teams</vt:lpwstr>
      </vt:variant>
      <vt:variant>
        <vt:lpwstr/>
      </vt:variant>
      <vt:variant>
        <vt:i4>1376313</vt:i4>
      </vt:variant>
      <vt:variant>
        <vt:i4>57</vt:i4>
      </vt:variant>
      <vt:variant>
        <vt:i4>0</vt:i4>
      </vt:variant>
      <vt:variant>
        <vt:i4>5</vt:i4>
      </vt:variant>
      <vt:variant>
        <vt:lpwstr/>
      </vt:variant>
      <vt:variant>
        <vt:lpwstr>_Toc54954310</vt:lpwstr>
      </vt:variant>
      <vt:variant>
        <vt:i4>1835064</vt:i4>
      </vt:variant>
      <vt:variant>
        <vt:i4>54</vt:i4>
      </vt:variant>
      <vt:variant>
        <vt:i4>0</vt:i4>
      </vt:variant>
      <vt:variant>
        <vt:i4>5</vt:i4>
      </vt:variant>
      <vt:variant>
        <vt:lpwstr/>
      </vt:variant>
      <vt:variant>
        <vt:lpwstr>_Toc54954309</vt:lpwstr>
      </vt:variant>
      <vt:variant>
        <vt:i4>1900600</vt:i4>
      </vt:variant>
      <vt:variant>
        <vt:i4>51</vt:i4>
      </vt:variant>
      <vt:variant>
        <vt:i4>0</vt:i4>
      </vt:variant>
      <vt:variant>
        <vt:i4>5</vt:i4>
      </vt:variant>
      <vt:variant>
        <vt:lpwstr/>
      </vt:variant>
      <vt:variant>
        <vt:lpwstr>_Toc54954308</vt:lpwstr>
      </vt:variant>
      <vt:variant>
        <vt:i4>1179704</vt:i4>
      </vt:variant>
      <vt:variant>
        <vt:i4>48</vt:i4>
      </vt:variant>
      <vt:variant>
        <vt:i4>0</vt:i4>
      </vt:variant>
      <vt:variant>
        <vt:i4>5</vt:i4>
      </vt:variant>
      <vt:variant>
        <vt:lpwstr/>
      </vt:variant>
      <vt:variant>
        <vt:lpwstr>_Toc54954307</vt:lpwstr>
      </vt:variant>
      <vt:variant>
        <vt:i4>1245240</vt:i4>
      </vt:variant>
      <vt:variant>
        <vt:i4>45</vt:i4>
      </vt:variant>
      <vt:variant>
        <vt:i4>0</vt:i4>
      </vt:variant>
      <vt:variant>
        <vt:i4>5</vt:i4>
      </vt:variant>
      <vt:variant>
        <vt:lpwstr/>
      </vt:variant>
      <vt:variant>
        <vt:lpwstr>_Toc54954306</vt:lpwstr>
      </vt:variant>
      <vt:variant>
        <vt:i4>1048632</vt:i4>
      </vt:variant>
      <vt:variant>
        <vt:i4>42</vt:i4>
      </vt:variant>
      <vt:variant>
        <vt:i4>0</vt:i4>
      </vt:variant>
      <vt:variant>
        <vt:i4>5</vt:i4>
      </vt:variant>
      <vt:variant>
        <vt:lpwstr/>
      </vt:variant>
      <vt:variant>
        <vt:lpwstr>_Toc54954305</vt:lpwstr>
      </vt:variant>
      <vt:variant>
        <vt:i4>1114168</vt:i4>
      </vt:variant>
      <vt:variant>
        <vt:i4>39</vt:i4>
      </vt:variant>
      <vt:variant>
        <vt:i4>0</vt:i4>
      </vt:variant>
      <vt:variant>
        <vt:i4>5</vt:i4>
      </vt:variant>
      <vt:variant>
        <vt:lpwstr/>
      </vt:variant>
      <vt:variant>
        <vt:lpwstr>_Toc54954304</vt:lpwstr>
      </vt:variant>
      <vt:variant>
        <vt:i4>1310776</vt:i4>
      </vt:variant>
      <vt:variant>
        <vt:i4>33</vt:i4>
      </vt:variant>
      <vt:variant>
        <vt:i4>0</vt:i4>
      </vt:variant>
      <vt:variant>
        <vt:i4>5</vt:i4>
      </vt:variant>
      <vt:variant>
        <vt:lpwstr/>
      </vt:variant>
      <vt:variant>
        <vt:lpwstr>_Toc54954301</vt:lpwstr>
      </vt:variant>
      <vt:variant>
        <vt:i4>1376312</vt:i4>
      </vt:variant>
      <vt:variant>
        <vt:i4>30</vt:i4>
      </vt:variant>
      <vt:variant>
        <vt:i4>0</vt:i4>
      </vt:variant>
      <vt:variant>
        <vt:i4>5</vt:i4>
      </vt:variant>
      <vt:variant>
        <vt:lpwstr/>
      </vt:variant>
      <vt:variant>
        <vt:lpwstr>_Toc54954300</vt:lpwstr>
      </vt:variant>
      <vt:variant>
        <vt:i4>1900593</vt:i4>
      </vt:variant>
      <vt:variant>
        <vt:i4>27</vt:i4>
      </vt:variant>
      <vt:variant>
        <vt:i4>0</vt:i4>
      </vt:variant>
      <vt:variant>
        <vt:i4>5</vt:i4>
      </vt:variant>
      <vt:variant>
        <vt:lpwstr/>
      </vt:variant>
      <vt:variant>
        <vt:lpwstr>_Toc54954299</vt:lpwstr>
      </vt:variant>
      <vt:variant>
        <vt:i4>1835057</vt:i4>
      </vt:variant>
      <vt:variant>
        <vt:i4>24</vt:i4>
      </vt:variant>
      <vt:variant>
        <vt:i4>0</vt:i4>
      </vt:variant>
      <vt:variant>
        <vt:i4>5</vt:i4>
      </vt:variant>
      <vt:variant>
        <vt:lpwstr/>
      </vt:variant>
      <vt:variant>
        <vt:lpwstr>_Toc54954298</vt:lpwstr>
      </vt:variant>
      <vt:variant>
        <vt:i4>1245233</vt:i4>
      </vt:variant>
      <vt:variant>
        <vt:i4>21</vt:i4>
      </vt:variant>
      <vt:variant>
        <vt:i4>0</vt:i4>
      </vt:variant>
      <vt:variant>
        <vt:i4>5</vt:i4>
      </vt:variant>
      <vt:variant>
        <vt:lpwstr/>
      </vt:variant>
      <vt:variant>
        <vt:lpwstr>_Toc54954297</vt:lpwstr>
      </vt:variant>
      <vt:variant>
        <vt:i4>1179697</vt:i4>
      </vt:variant>
      <vt:variant>
        <vt:i4>18</vt:i4>
      </vt:variant>
      <vt:variant>
        <vt:i4>0</vt:i4>
      </vt:variant>
      <vt:variant>
        <vt:i4>5</vt:i4>
      </vt:variant>
      <vt:variant>
        <vt:lpwstr/>
      </vt:variant>
      <vt:variant>
        <vt:lpwstr>_Toc54954296</vt:lpwstr>
      </vt:variant>
      <vt:variant>
        <vt:i4>1114161</vt:i4>
      </vt:variant>
      <vt:variant>
        <vt:i4>15</vt:i4>
      </vt:variant>
      <vt:variant>
        <vt:i4>0</vt:i4>
      </vt:variant>
      <vt:variant>
        <vt:i4>5</vt:i4>
      </vt:variant>
      <vt:variant>
        <vt:lpwstr/>
      </vt:variant>
      <vt:variant>
        <vt:lpwstr>_Toc54954295</vt:lpwstr>
      </vt:variant>
      <vt:variant>
        <vt:i4>1048625</vt:i4>
      </vt:variant>
      <vt:variant>
        <vt:i4>12</vt:i4>
      </vt:variant>
      <vt:variant>
        <vt:i4>0</vt:i4>
      </vt:variant>
      <vt:variant>
        <vt:i4>5</vt:i4>
      </vt:variant>
      <vt:variant>
        <vt:lpwstr/>
      </vt:variant>
      <vt:variant>
        <vt:lpwstr>_Toc54954294</vt:lpwstr>
      </vt:variant>
      <vt:variant>
        <vt:i4>1507377</vt:i4>
      </vt:variant>
      <vt:variant>
        <vt:i4>9</vt:i4>
      </vt:variant>
      <vt:variant>
        <vt:i4>0</vt:i4>
      </vt:variant>
      <vt:variant>
        <vt:i4>5</vt:i4>
      </vt:variant>
      <vt:variant>
        <vt:lpwstr/>
      </vt:variant>
      <vt:variant>
        <vt:lpwstr>_Toc54954293</vt:lpwstr>
      </vt:variant>
      <vt:variant>
        <vt:i4>1376305</vt:i4>
      </vt:variant>
      <vt:variant>
        <vt:i4>6</vt:i4>
      </vt:variant>
      <vt:variant>
        <vt:i4>0</vt:i4>
      </vt:variant>
      <vt:variant>
        <vt:i4>5</vt:i4>
      </vt:variant>
      <vt:variant>
        <vt:lpwstr/>
      </vt:variant>
      <vt:variant>
        <vt:lpwstr>_Toc54954291</vt:lpwstr>
      </vt:variant>
      <vt:variant>
        <vt:i4>1310769</vt:i4>
      </vt:variant>
      <vt:variant>
        <vt:i4>3</vt:i4>
      </vt:variant>
      <vt:variant>
        <vt:i4>0</vt:i4>
      </vt:variant>
      <vt:variant>
        <vt:i4>5</vt:i4>
      </vt:variant>
      <vt:variant>
        <vt:lpwstr/>
      </vt:variant>
      <vt:variant>
        <vt:lpwstr>_Toc54954290</vt:lpwstr>
      </vt:variant>
      <vt:variant>
        <vt:i4>1245232</vt:i4>
      </vt:variant>
      <vt:variant>
        <vt:i4>0</vt:i4>
      </vt:variant>
      <vt:variant>
        <vt:i4>0</vt:i4>
      </vt:variant>
      <vt:variant>
        <vt:i4>5</vt:i4>
      </vt:variant>
      <vt:variant>
        <vt:lpwstr/>
      </vt:variant>
      <vt:variant>
        <vt:lpwstr>_Toc54954287</vt:lpwstr>
      </vt:variant>
      <vt:variant>
        <vt:i4>1638440</vt:i4>
      </vt:variant>
      <vt:variant>
        <vt:i4>0</vt:i4>
      </vt:variant>
      <vt:variant>
        <vt:i4>0</vt:i4>
      </vt:variant>
      <vt:variant>
        <vt:i4>5</vt:i4>
      </vt:variant>
      <vt:variant>
        <vt:lpwstr>mailto:wendy.stoica@education.ohio.gov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Ressa, Virginia</dc:creator>
  <cp:keywords/>
  <dc:description/>
  <cp:lastModifiedBy>Nethers, Noel</cp:lastModifiedBy>
  <cp:revision>577</cp:revision>
  <cp:lastPrinted>2019-10-25T01:57:00Z</cp:lastPrinted>
  <dcterms:created xsi:type="dcterms:W3CDTF">2020-10-30T22:44:00Z</dcterms:created>
  <dcterms:modified xsi:type="dcterms:W3CDTF">2021-11-09T21:14:00Z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0x010100CE39FDD00739D7438DA51139CD336D0A</vt:lpwstr>
  </property>
  <property fmtid="{D5CDD505-2E9C-101B-9397-08002B2CF9AE}" pid="3" name="AuthorIds_UIVersion_512">
    <vt:lpwstr>3</vt:lpwstr>
  </property>
  <property fmtid="{D5CDD505-2E9C-101B-9397-08002B2CF9AE}" pid="4" name="Order">
    <vt:r8>973200</vt:r8>
  </property>
  <property fmtid="{D5CDD505-2E9C-101B-9397-08002B2CF9AE}" pid="5" name="ComplianceAssetId">
    <vt:lpwstr/>
  </property>
  <property fmtid="{D5CDD505-2E9C-101B-9397-08002B2CF9AE}" pid="6" name="_dlc_DocIdItemGuid">
    <vt:lpwstr>0a531033-6174-499f-b2bd-34758d95bc63</vt:lpwstr>
  </property>
</Properties>
</file>